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遂宁市司法局202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年行政权力责任清单</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pPr>
        <w:spacing w:line="320" w:lineRule="exact"/>
        <w:rPr>
          <w:rFonts w:hint="eastAsia" w:ascii="黑体" w:hAnsi="黑体" w:eastAsia="黑体"/>
          <w:bCs/>
          <w:sz w:val="32"/>
          <w:szCs w:val="32"/>
        </w:rPr>
      </w:pPr>
      <w:r>
        <w:rPr>
          <w:rFonts w:hint="eastAsia" w:ascii="黑体" w:hAnsi="黑体" w:eastAsia="黑体"/>
          <w:bCs/>
          <w:sz w:val="32"/>
          <w:szCs w:val="32"/>
        </w:rPr>
        <w:t>表1</w:t>
      </w:r>
    </w:p>
    <w:tbl>
      <w:tblPr>
        <w:tblStyle w:val="4"/>
        <w:tblW w:w="4981" w:type="pct"/>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309" w:type="pct"/>
            <w:noWrap w:val="0"/>
            <w:vAlign w:val="center"/>
          </w:tcPr>
          <w:p>
            <w:pPr>
              <w:spacing w:line="320" w:lineRule="exact"/>
              <w:jc w:val="center"/>
              <w:rPr>
                <w:rFonts w:ascii="宋体" w:hAnsi="宋体" w:eastAsia="宋体"/>
                <w:sz w:val="21"/>
                <w:szCs w:val="21"/>
              </w:rPr>
            </w:pPr>
            <w:r>
              <w:rPr>
                <w:rFonts w:ascii="宋体" w:hAnsi="宋体" w:eastAsia="宋体"/>
                <w:sz w:val="21"/>
                <w:szCs w:val="21"/>
              </w:rPr>
              <w:t>主体责任</w:t>
            </w:r>
          </w:p>
        </w:tc>
        <w:tc>
          <w:tcPr>
            <w:tcW w:w="4690"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309" w:type="pct"/>
            <w:noWrap w:val="0"/>
            <w:vAlign w:val="center"/>
          </w:tcPr>
          <w:p>
            <w:pPr>
              <w:spacing w:line="320" w:lineRule="exact"/>
              <w:jc w:val="center"/>
              <w:rPr>
                <w:rFonts w:ascii="宋体" w:hAnsi="宋体" w:eastAsia="宋体"/>
                <w:sz w:val="21"/>
                <w:szCs w:val="21"/>
              </w:rPr>
            </w:pPr>
            <w:r>
              <w:rPr>
                <w:rFonts w:ascii="宋体" w:hAnsi="宋体" w:eastAsia="宋体"/>
                <w:sz w:val="21"/>
                <w:szCs w:val="21"/>
              </w:rPr>
              <w:t>职责边界</w:t>
            </w:r>
          </w:p>
        </w:tc>
        <w:tc>
          <w:tcPr>
            <w:tcW w:w="4690"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安全生产和职业健康监管职责分工：将安全生产、职业健康法律法规普及纳入公民普法教育的重要内容，会同有关部门宣传普及有关安全生产、职业健康法律法规知识，指导律师、公证员、基层法律服务工作者、司法鉴定人、法律援助工作者为安全生产、职业健康工作提供法律服务。</w:t>
            </w:r>
          </w:p>
          <w:p>
            <w:pPr>
              <w:spacing w:line="320" w:lineRule="exact"/>
              <w:ind w:firstLine="420" w:firstLineChars="200"/>
              <w:rPr>
                <w:rFonts w:ascii="宋体" w:hAnsi="宋体" w:eastAsia="宋体"/>
                <w:sz w:val="21"/>
                <w:szCs w:val="21"/>
              </w:rPr>
            </w:pPr>
            <w:r>
              <w:rPr>
                <w:rFonts w:hint="eastAsia" w:ascii="宋体" w:hAnsi="宋体" w:eastAsia="宋体"/>
                <w:sz w:val="21"/>
                <w:szCs w:val="21"/>
              </w:rPr>
              <w:t>2.环境保护工作职责分工：将环境保护法律法规纳入普法内容；提高律师事务所及律师、司法鉴定机构和基层法律服务工作者的环境保护意识，加强涉及环境保护纠纷的人民调解；支持律师事务所、司法鉴定机构等部门参与环境保护法律服务工作；履行有关法律法规规定的其他环境保护职责。</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eastAsia="zh-CN"/>
        </w:rPr>
      </w:pPr>
      <w:r>
        <w:rPr>
          <w:rFonts w:hint="eastAsia" w:ascii="黑体" w:hAnsi="黑体" w:eastAsia="黑体"/>
          <w:bCs/>
          <w:sz w:val="32"/>
          <w:szCs w:val="32"/>
        </w:rPr>
        <w:t>表2-1</w:t>
      </w:r>
    </w:p>
    <w:tbl>
      <w:tblPr>
        <w:tblStyle w:val="4"/>
        <w:tblpPr w:leftFromText="180" w:rightFromText="180" w:vertAnchor="text" w:horzAnchor="page" w:tblpX="1770" w:tblpY="218"/>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7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3"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4046" w:type="pct"/>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3"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4046" w:type="pct"/>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3" w:type="pct"/>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权力项目名称</w:t>
            </w:r>
          </w:p>
        </w:tc>
        <w:tc>
          <w:tcPr>
            <w:tcW w:w="4046" w:type="pct"/>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律师事务所（分所）设立、变更、注销许可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3"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4046" w:type="pct"/>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953"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4046"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953"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4046"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律师事务所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3"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4046" w:type="pct"/>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w:t>
            </w:r>
            <w:r>
              <w:rPr>
                <w:rFonts w:hint="eastAsia" w:ascii="仿宋_GB2312" w:hAnsi="仿宋_GB2312" w:eastAsia="仿宋_GB2312"/>
                <w:color w:val="000000"/>
                <w:sz w:val="21"/>
                <w:szCs w:val="21"/>
              </w:rPr>
              <w:t>2251932</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黑体" w:hAnsi="黑体" w:eastAsia="黑体"/>
          <w:bCs/>
          <w:sz w:val="32"/>
          <w:szCs w:val="32"/>
        </w:rPr>
      </w:pPr>
    </w:p>
    <w:p>
      <w:pPr>
        <w:spacing w:line="320" w:lineRule="exact"/>
        <w:rPr>
          <w:rFonts w:hint="eastAsia" w:ascii="宋体" w:hAnsi="宋体" w:eastAsia="宋体"/>
          <w:sz w:val="21"/>
          <w:szCs w:val="21"/>
        </w:rPr>
      </w:pPr>
      <w:r>
        <w:rPr>
          <w:rFonts w:hint="eastAsia" w:ascii="黑体" w:hAnsi="黑体" w:eastAsia="黑体"/>
          <w:bCs/>
          <w:sz w:val="32"/>
          <w:szCs w:val="32"/>
        </w:rPr>
        <w:t>表2-2</w:t>
      </w:r>
    </w:p>
    <w:tbl>
      <w:tblPr>
        <w:tblStyle w:val="4"/>
        <w:tblpPr w:leftFromText="180" w:rightFromText="180" w:vertAnchor="text" w:horzAnchor="page" w:tblpX="1728" w:tblpY="362"/>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77"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1"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77"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1"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77"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权力项目名称</w:t>
            </w:r>
          </w:p>
        </w:tc>
        <w:tc>
          <w:tcPr>
            <w:tcW w:w="7331"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律师执业、变更、注销许可</w:t>
            </w:r>
            <w:r>
              <w:rPr>
                <w:rFonts w:hint="eastAsia" w:ascii="宋体" w:hAnsi="宋体"/>
                <w:sz w:val="21"/>
                <w:szCs w:val="21"/>
                <w:lang w:eastAsia="zh-CN"/>
              </w:rPr>
              <w:t>（含香港澳门永久性居民中的中国居民及台湾居民申请律师执业、变更执业机构）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77"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1"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777"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1"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777"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1"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律师执业管理办法》《取得内地法律职业资格的香港特别行政区和澳门特别行政区居民在内地从事律师职业管理办法》《取得国家法律职业资格的台湾居民在大陆从事律师职业管理办法》《四川省行政审批违法违纪行为责任追究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77"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1"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w:t>
            </w:r>
            <w:r>
              <w:rPr>
                <w:rFonts w:hint="eastAsia" w:ascii="宋体" w:hAnsi="宋体"/>
                <w:sz w:val="21"/>
                <w:szCs w:val="21"/>
                <w:lang w:eastAsia="zh-CN"/>
              </w:rPr>
              <w:t>2251932</w:t>
            </w:r>
          </w:p>
        </w:tc>
      </w:tr>
    </w:tbl>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黑体" w:hAnsi="黑体" w:eastAsia="黑体"/>
          <w:bCs/>
        </w:rPr>
      </w:pPr>
    </w:p>
    <w:p>
      <w:pPr>
        <w:spacing w:line="320" w:lineRule="exact"/>
        <w:rPr>
          <w:rFonts w:hint="eastAsia" w:ascii="黑体" w:hAnsi="黑体" w:eastAsia="黑体"/>
          <w:bCs/>
          <w:sz w:val="32"/>
          <w:szCs w:val="32"/>
        </w:rPr>
      </w:pPr>
    </w:p>
    <w:p>
      <w:pPr>
        <w:spacing w:line="320" w:lineRule="exact"/>
        <w:rPr>
          <w:rFonts w:hint="eastAsia" w:ascii="黑体" w:hAnsi="黑体" w:eastAsia="黑体"/>
          <w:bCs/>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3</w:t>
      </w:r>
    </w:p>
    <w:tbl>
      <w:tblPr>
        <w:tblStyle w:val="4"/>
        <w:tblpPr w:leftFromText="180" w:rightFromText="180" w:vertAnchor="text" w:horzAnchor="page" w:tblpX="1725" w:tblpY="67"/>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lang w:eastAsia="zh-CN"/>
              </w:rPr>
            </w:pPr>
            <w:r>
              <w:rPr>
                <w:rFonts w:hint="eastAsia" w:ascii="宋体" w:hAnsi="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color w:val="auto"/>
                <w:sz w:val="21"/>
                <w:szCs w:val="21"/>
              </w:rPr>
              <w:t>基层法律服务工作者执业、变更、注销许可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2．审查责任：按照相关法律法规对申请材料进行审查，提出是否符合执业条件的审核意见。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基层法律服务工作者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color w:val="auto"/>
                <w:sz w:val="21"/>
                <w:szCs w:val="21"/>
              </w:rPr>
              <w:t>0825-</w:t>
            </w:r>
            <w:r>
              <w:rPr>
                <w:rFonts w:hint="eastAsia" w:ascii="宋体" w:hAnsi="宋体"/>
                <w:color w:val="auto"/>
                <w:sz w:val="21"/>
                <w:szCs w:val="21"/>
                <w:lang w:eastAsia="zh-CN"/>
              </w:rPr>
              <w:t>225193</w:t>
            </w:r>
          </w:p>
        </w:tc>
      </w:tr>
    </w:tbl>
    <w:p>
      <w:pPr>
        <w:spacing w:line="320" w:lineRule="exact"/>
        <w:rPr>
          <w:rFonts w:hint="eastAsia" w:ascii="黑体" w:hAnsi="黑体" w:eastAsia="黑体"/>
          <w:bCs/>
        </w:rPr>
      </w:pPr>
    </w:p>
    <w:p>
      <w:pPr>
        <w:pStyle w:val="2"/>
        <w:rPr>
          <w:rFonts w:hint="eastAsia"/>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4</w:t>
      </w:r>
    </w:p>
    <w:p>
      <w:pPr>
        <w:pStyle w:val="2"/>
        <w:rPr>
          <w:rFonts w:hint="eastAsia"/>
        </w:rPr>
      </w:pPr>
    </w:p>
    <w:tbl>
      <w:tblPr>
        <w:tblStyle w:val="4"/>
        <w:tblpPr w:leftFromText="180" w:rightFromText="180" w:vertAnchor="text" w:horzAnchor="page" w:tblpX="1725" w:tblpY="86"/>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lang w:eastAsia="zh-CN"/>
              </w:rPr>
            </w:pPr>
            <w:r>
              <w:rPr>
                <w:rFonts w:hint="eastAsia" w:ascii="宋体" w:hAnsi="宋体"/>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权力项目名称</w:t>
            </w:r>
          </w:p>
        </w:tc>
        <w:tc>
          <w:tcPr>
            <w:tcW w:w="7332" w:type="dxa"/>
            <w:noWrap w:val="0"/>
            <w:vAlign w:val="center"/>
          </w:tcPr>
          <w:p>
            <w:pPr>
              <w:spacing w:line="320" w:lineRule="exact"/>
              <w:ind w:firstLine="420" w:firstLineChars="200"/>
              <w:jc w:val="center"/>
              <w:rPr>
                <w:rFonts w:hint="eastAsia" w:ascii="宋体" w:hAnsi="宋体" w:eastAsia="宋体"/>
                <w:color w:val="auto"/>
                <w:sz w:val="21"/>
                <w:szCs w:val="21"/>
              </w:rPr>
            </w:pPr>
            <w:r>
              <w:rPr>
                <w:rFonts w:hint="eastAsia" w:ascii="宋体" w:hAnsi="宋体" w:eastAsia="宋体"/>
                <w:color w:val="auto"/>
                <w:sz w:val="21"/>
                <w:szCs w:val="21"/>
                <w:highlight w:val="none"/>
              </w:rPr>
              <w:t>法律职业资格认定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color w:val="auto"/>
                <w:sz w:val="21"/>
                <w:szCs w:val="21"/>
              </w:rPr>
            </w:pPr>
            <w:r>
              <w:rPr>
                <w:rFonts w:hint="eastAsia" w:ascii="宋体" w:hAnsi="宋体" w:eastAsia="宋体"/>
                <w:color w:val="auto"/>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2．审查责任：按照相关法律法规对申请材料进行审查，提出是否符合执业条件的审核意见。</w:t>
            </w:r>
          </w:p>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3．决定责任：作出行政许可或者不予许可决定（不予许可的应当书面告知理由）。</w:t>
            </w:r>
          </w:p>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对不履行或不正确履行行政职责的行政机关及其工作人员，依据《中华人民共和国行政监察法》《中华人民共和国行政许可法》《行政机关公务员处分条例》</w:t>
            </w:r>
            <w:r>
              <w:rPr>
                <w:rFonts w:hint="eastAsia" w:ascii="宋体" w:hAnsi="宋体" w:eastAsia="宋体"/>
                <w:color w:val="auto"/>
                <w:sz w:val="21"/>
                <w:szCs w:val="21"/>
                <w:lang w:eastAsia="zh-CN"/>
              </w:rPr>
              <w:t>《</w:t>
            </w: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HYPERLINK "http://www.sc.gov.cn/10462/zcwjk/zcwjk.shtml?title=%E6%B3%95%E5%BE%8B%E8%81%8C%E4%B8%9A%E8%B5%84%E6%A0%BC%E7%AE%A1%E7%90%86%E5%8A%9E%E6%B3%95" \t "http://www.sczwfw.gov.cn/jiq/front/transition/_blank"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法律职业资格管理办法</w:t>
            </w:r>
            <w:r>
              <w:rPr>
                <w:rFonts w:hint="eastAsia" w:ascii="宋体" w:hAnsi="宋体" w:eastAsia="宋体"/>
                <w:color w:val="auto"/>
                <w:sz w:val="21"/>
                <w:szCs w:val="21"/>
              </w:rPr>
              <w:fldChar w:fldCharType="end"/>
            </w:r>
            <w:r>
              <w:rPr>
                <w:rFonts w:hint="eastAsia" w:ascii="宋体" w:hAnsi="宋体" w:eastAsia="宋体"/>
                <w:color w:val="auto"/>
                <w:sz w:val="21"/>
                <w:szCs w:val="21"/>
                <w:lang w:eastAsia="zh-CN"/>
              </w:rPr>
              <w:t>》</w:t>
            </w:r>
            <w:bookmarkStart w:id="6" w:name="_GoBack"/>
            <w:bookmarkEnd w:id="6"/>
            <w:r>
              <w:rPr>
                <w:rFonts w:hint="eastAsia" w:ascii="宋体" w:hAnsi="宋体" w:eastAsia="宋体"/>
                <w:color w:val="auto"/>
                <w:sz w:val="21"/>
                <w:szCs w:val="21"/>
              </w:rPr>
              <w:t>《四川省行政审批违法违纪行为责任追究办法》等法律法规规章的相关规定追究相应的责任。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0825-</w:t>
            </w:r>
            <w:r>
              <w:rPr>
                <w:rFonts w:hint="eastAsia" w:ascii="宋体" w:hAnsi="宋体"/>
                <w:color w:val="auto"/>
                <w:sz w:val="21"/>
                <w:szCs w:val="21"/>
                <w:lang w:eastAsia="zh-CN"/>
              </w:rPr>
              <w:t>2251932</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5</w:t>
      </w:r>
    </w:p>
    <w:tbl>
      <w:tblPr>
        <w:tblStyle w:val="4"/>
        <w:tblpPr w:leftFromText="180" w:rightFromText="180" w:vertAnchor="text" w:horzAnchor="page" w:tblpX="1725" w:tblpY="28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lang w:eastAsia="zh-CN"/>
              </w:rPr>
            </w:pPr>
            <w:r>
              <w:rPr>
                <w:rFonts w:hint="eastAsia" w:ascii="宋体" w:hAnsi="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对律师、律师事务所一般性违法行为的处罚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1.立案责任:发现或获知律师、律师事务所有涉嫌严重违反《中华人民共和国律师法》相关规定的行为，进行初步调查，收集相关证据，予以审查，决定是否立案。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2.调查责任：对立案的案件，指定专人负责，及时组织调查取证，与当事人有直接利害关系的应当回避。执法人员不得少于2人，调查或询问时应当制作笔录，应出示证件，允许当事人辩解。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3.审查责任：审查案件调查报告，对案件违法事实、证据、调查取证程序、法律适用、处罚种类和幅度、当事人陈述和申辩等进行审查，提出处理意见。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5.决定责任：作出处罚决定，制作《行政处罚决定书》，并载明行政处罚告知、当事人陈述申辩或者听证情况等内容。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6.送达责任：按照法律规定的方式和时限将《行政处罚决定书》送达当事人。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律师法》、《中华人民共和国行政处罚法》、《行政机关公务员处分条例》、《四川省行政执法监督条例》、《律师和律师事务所违法行为处罚办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color w:val="auto"/>
                <w:sz w:val="21"/>
                <w:szCs w:val="21"/>
              </w:rPr>
              <w:t>0825-</w:t>
            </w:r>
            <w:r>
              <w:rPr>
                <w:rFonts w:hint="eastAsia" w:ascii="宋体" w:hAnsi="宋体"/>
                <w:color w:val="auto"/>
                <w:sz w:val="21"/>
                <w:szCs w:val="21"/>
                <w:lang w:eastAsia="zh-CN"/>
              </w:rPr>
              <w:t>2251932</w:t>
            </w:r>
          </w:p>
        </w:tc>
      </w:tr>
    </w:tbl>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6</w:t>
      </w:r>
    </w:p>
    <w:tbl>
      <w:tblPr>
        <w:tblStyle w:val="4"/>
        <w:tblpPr w:leftFromText="180" w:rightFromText="180" w:vertAnchor="text" w:horzAnchor="page" w:tblpX="1740" w:tblpY="205"/>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对公证机构、公证员违法行为的处罚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1.立案责任:发现或获知公证机构或者公证员有违反《中华人民共和国公证法》有关规定的违法行为，进行初步调查，收集相关证据，予以审查，决定是否立案。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2.调查责任：对已经立案的案件，指定专人负责，及时组织调查取证，与当事人有直接利害关系的应当回避。执法人员不得少于2人，调查或询问时应当制作笔录，应出示证件，允许当事人辩解。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3.审查责任：审查案件调查报告，对案件违法事实、证据、调查取证程序、法律适用、处罚种类和幅度、当事人陈述和申辩等进行审查，提出处理意见。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5.决定责任：作出处罚决定，制作《行政处罚决定书》，并载明行政处罚告知、当事人陈述申辩或者听证情况等内容。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6.送达责任：按照法律规定的方式和时限将《行政处罚决定书》送达当事人。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行政处罚法》、《中华人民共和国公证法》、《行政机关公务员处分条例》、《四川省行政执法监督条例》、《公证机构执业管理办法》、《公证员执业管理办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color w:val="auto"/>
                <w:sz w:val="21"/>
                <w:szCs w:val="21"/>
              </w:rPr>
              <w:t>0825-</w:t>
            </w:r>
            <w:r>
              <w:rPr>
                <w:rFonts w:hint="eastAsia" w:ascii="宋体" w:hAnsi="宋体"/>
                <w:color w:val="auto"/>
                <w:sz w:val="21"/>
                <w:szCs w:val="21"/>
                <w:lang w:eastAsia="zh-CN"/>
              </w:rPr>
              <w:t>2251932</w:t>
            </w:r>
          </w:p>
        </w:tc>
      </w:tr>
    </w:tbl>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7</w:t>
      </w:r>
    </w:p>
    <w:tbl>
      <w:tblPr>
        <w:tblStyle w:val="4"/>
        <w:tblpPr w:leftFromText="180" w:rightFromText="180" w:vertAnchor="text" w:horzAnchor="page" w:tblpX="1740" w:tblpY="494"/>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lang w:eastAsia="zh-CN"/>
              </w:rPr>
            </w:pPr>
            <w:r>
              <w:rPr>
                <w:rFonts w:hint="eastAsia" w:ascii="宋体" w:hAnsi="宋体"/>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对司法鉴定机构、司法鉴定人违法行为的处罚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5"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1.立案责任：发现或获知司法鉴定机构、司法鉴定人涉嫌存在违法违规行为，应予以审查，予以审查，决定是否立案。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2.调查责任：对已经立案的案件，指定专人负责，及时组织调查取证，与当事人有直接利害关系的应当回避。执法人员不得少于2人，调查或询问时应当制作笔录，应出示证件，允许当事人辩解。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3.审查责任：审查案件调查报告，对案件违法事实、证据、调查取证程序、法律适用、处罚种类和幅度、当事人陈述和申辩等进行审查，提出处理意见。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5.决定责任：作出处罚决定，制作《行政处罚决定书》，并载明行政处罚告知、当事人陈述申辩或者听证情况等内容。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6.送达责任：按照法律规定的方式和时限将《行政处罚决定书》送达当事人。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律师法》、《中华人民共和国行政处罚法》、《行政机关公务员处分条例》、《四川省行政执法监督条例》、《四川省行政审批违法违纪行为责任追究办法》、《四川省行政机关工作人员行政过错责任追究试行办法》、《全国人民代表大会常务委员会关于司法鉴定管理问题的决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w:t>
            </w:r>
            <w:r>
              <w:rPr>
                <w:rFonts w:hint="eastAsia" w:ascii="宋体" w:hAnsi="宋体" w:eastAsia="宋体"/>
                <w:sz w:val="21"/>
                <w:szCs w:val="21"/>
                <w:lang w:eastAsia="zh-CN"/>
              </w:rPr>
              <w:t>2251932</w:t>
            </w:r>
          </w:p>
        </w:tc>
      </w:tr>
    </w:tbl>
    <w:p>
      <w:pPr>
        <w:pStyle w:val="2"/>
      </w:pPr>
    </w:p>
    <w:p>
      <w:pPr>
        <w:spacing w:line="320" w:lineRule="exact"/>
        <w:rPr>
          <w:rFonts w:hint="eastAsia" w:ascii="黑体" w:hAnsi="黑体" w:eastAsia="黑体"/>
          <w:bCs/>
          <w:sz w:val="32"/>
          <w:szCs w:val="32"/>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8</w:t>
      </w:r>
    </w:p>
    <w:tbl>
      <w:tblPr>
        <w:tblStyle w:val="4"/>
        <w:tblpPr w:leftFromText="180" w:rightFromText="180" w:vertAnchor="text" w:horzAnchor="page" w:tblpX="1710" w:tblpY="207"/>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对基层法律服务所、基层法律服务工作者违法行为的处罚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基层法律服务所、基层法律服务工作者有违反《四川省基层法律服务条例》、《基层法律服务所管理办法》、《基层法律服务工作者管理办法》相关规定的违法行为，进行初步调查，收集相关证据，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2.调查责任：对已经立案的案件，指定专人负责，及时组织调查取证，与当事人有直接利害关系的应当回避。执法人员不得少于2人，调查时应出示证件，允许当事人辩解。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4.告知责任：做出行政处罚决定前，应制作《行政处罚告知书》送达当事人，符合听证规定的，制作并送达《行政处罚听证告知书》。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5.决定责任：制作《行政处罚决定书》，载明行政处罚告知、当事人陈述申辩或者听证情况等内容。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6.送达责任：行政处罚决定书按法律规定的方式送达当事人。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7.执行责任：依照生效的行政处罚决定，执行行政处罚。</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基层法律服务所管理办法》、《基层法律服务工作者管理办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color w:val="auto"/>
                <w:sz w:val="21"/>
                <w:szCs w:val="21"/>
              </w:rPr>
              <w:t>0825-</w:t>
            </w:r>
            <w:r>
              <w:rPr>
                <w:rFonts w:hint="eastAsia" w:ascii="宋体" w:hAnsi="宋体"/>
                <w:color w:val="auto"/>
                <w:sz w:val="21"/>
                <w:szCs w:val="21"/>
                <w:lang w:eastAsia="zh-CN"/>
              </w:rPr>
              <w:t>2251932</w:t>
            </w:r>
          </w:p>
        </w:tc>
      </w:tr>
    </w:tbl>
    <w:p>
      <w:pPr>
        <w:spacing w:line="320" w:lineRule="exact"/>
        <w:rPr>
          <w:rFonts w:hint="eastAsia" w:ascii="宋体" w:hAnsi="宋体" w:eastAsia="宋体"/>
          <w:sz w:val="21"/>
          <w:szCs w:val="21"/>
        </w:rPr>
      </w:pPr>
    </w:p>
    <w:p>
      <w:pPr>
        <w:spacing w:line="320" w:lineRule="exact"/>
        <w:rPr>
          <w:rFonts w:hint="eastAsia" w:ascii="黑体" w:hAnsi="黑体" w:eastAsia="黑体"/>
          <w:bCs/>
          <w:color w:val="000000"/>
          <w:sz w:val="32"/>
          <w:szCs w:val="32"/>
          <w:lang w:val="en-US" w:eastAsia="zh-CN"/>
        </w:rPr>
      </w:pPr>
      <w:r>
        <w:rPr>
          <w:rFonts w:hint="eastAsia" w:ascii="黑体" w:hAnsi="黑体" w:eastAsia="黑体"/>
          <w:bCs/>
          <w:color w:val="000000"/>
          <w:sz w:val="32"/>
          <w:szCs w:val="32"/>
        </w:rPr>
        <w:t>表2-</w:t>
      </w:r>
      <w:r>
        <w:rPr>
          <w:rFonts w:hint="eastAsia" w:ascii="黑体" w:hAnsi="黑体" w:eastAsia="黑体"/>
          <w:bCs/>
          <w:color w:val="000000"/>
          <w:sz w:val="32"/>
          <w:szCs w:val="32"/>
          <w:lang w:val="en-US" w:eastAsia="zh-CN"/>
        </w:rPr>
        <w:t>9</w:t>
      </w:r>
    </w:p>
    <w:tbl>
      <w:tblPr>
        <w:tblStyle w:val="4"/>
        <w:tblpPr w:leftFromText="180" w:rightFromText="180" w:vertAnchor="text" w:horzAnchor="page" w:tblpX="1755" w:tblpY="26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color w:val="000000"/>
                <w:sz w:val="21"/>
                <w:szCs w:val="21"/>
              </w:rPr>
            </w:pPr>
            <w:r>
              <w:rPr>
                <w:rFonts w:hint="eastAsia" w:ascii="宋体" w:hAnsi="宋体" w:eastAsia="宋体"/>
                <w:color w:val="000000"/>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法律援助律师、公职律师、公司律师工作证颁发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责任事项</w:t>
            </w:r>
          </w:p>
        </w:tc>
        <w:tc>
          <w:tcPr>
            <w:tcW w:w="7332" w:type="dxa"/>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1.受理环节确认:对申请人提交的材料依法受理或不予受理（不予受理应当告知理由）。</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2.初审环节责任:按照规定程序对所提交材料进行审查；一次性告知补正材料；。</w:t>
            </w:r>
          </w:p>
          <w:p>
            <w:pPr>
              <w:spacing w:line="28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3.送达环节责任：送达法律援助律师、公职律师、公司律师工作证</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4.信息公开责任:按照相关规定办理信息公开事项。</w:t>
            </w:r>
          </w:p>
          <w:p>
            <w:pPr>
              <w:spacing w:line="28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5.监管环节责任：加强日常监督检查。</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6.其他责任：法律法规规章文件规定应履行的其他责任。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追责情形</w:t>
            </w:r>
          </w:p>
        </w:tc>
        <w:tc>
          <w:tcPr>
            <w:tcW w:w="7332" w:type="dxa"/>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中华人民共和国律师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监督电话</w:t>
            </w:r>
          </w:p>
        </w:tc>
        <w:tc>
          <w:tcPr>
            <w:tcW w:w="7332"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auto"/>
                <w:sz w:val="21"/>
                <w:szCs w:val="21"/>
              </w:rPr>
              <w:t>0825-</w:t>
            </w:r>
            <w:r>
              <w:rPr>
                <w:rFonts w:hint="eastAsia" w:ascii="宋体" w:hAnsi="宋体"/>
                <w:color w:val="auto"/>
                <w:sz w:val="21"/>
                <w:szCs w:val="21"/>
                <w:lang w:eastAsia="zh-CN"/>
              </w:rPr>
              <w:t>2251932</w:t>
            </w:r>
          </w:p>
        </w:tc>
      </w:tr>
    </w:tbl>
    <w:p>
      <w:pPr>
        <w:spacing w:line="320" w:lineRule="exact"/>
        <w:rPr>
          <w:rFonts w:hint="eastAsia" w:ascii="黑体" w:hAnsi="黑体" w:eastAsia="黑体"/>
          <w:bCs/>
          <w:color w:val="000000"/>
        </w:rPr>
      </w:pPr>
    </w:p>
    <w:p>
      <w:pPr>
        <w:spacing w:line="320" w:lineRule="exact"/>
        <w:rPr>
          <w:rFonts w:hint="eastAsia" w:ascii="黑体" w:hAnsi="黑体" w:eastAsia="黑体"/>
          <w:bCs/>
          <w:color w:val="000000"/>
          <w:sz w:val="32"/>
          <w:szCs w:val="32"/>
        </w:rPr>
      </w:pPr>
      <w:r>
        <w:rPr>
          <w:rFonts w:hint="eastAsia" w:ascii="黑体" w:hAnsi="黑体" w:eastAsia="黑体"/>
          <w:bCs/>
          <w:color w:val="000000"/>
          <w:sz w:val="32"/>
          <w:szCs w:val="32"/>
        </w:rPr>
        <w:t>表2-1</w:t>
      </w:r>
      <w:r>
        <w:rPr>
          <w:rFonts w:hint="eastAsia" w:ascii="黑体" w:hAnsi="黑体" w:eastAsia="黑体"/>
          <w:bCs/>
          <w:color w:val="000000"/>
          <w:sz w:val="32"/>
          <w:szCs w:val="32"/>
          <w:lang w:val="en-US" w:eastAsia="zh-CN"/>
        </w:rPr>
        <w:t>0</w:t>
      </w:r>
      <w:r>
        <w:rPr>
          <w:rFonts w:hint="eastAsia" w:ascii="黑体" w:hAnsi="黑体" w:eastAsia="黑体"/>
          <w:bCs/>
          <w:color w:val="000000"/>
          <w:sz w:val="32"/>
          <w:szCs w:val="32"/>
        </w:rPr>
        <w:t xml:space="preserve"> </w:t>
      </w:r>
    </w:p>
    <w:tbl>
      <w:tblPr>
        <w:tblStyle w:val="4"/>
        <w:tblpPr w:leftFromText="180" w:rightFromText="180" w:vertAnchor="text" w:horzAnchor="page" w:tblpX="1725" w:tblpY="22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对公民法律援助申请的审批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遂宁市法律援助中心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1.受理责任：依法受理或不予受理（不予受理应当告知理由）申请人提交的法律援助申请材料。</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2.审查责任：按照规定程序对所提交证件、材料进行审查；一次性告知补正材料；需要查证的，向有关机关、单位查证。</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3.决定责任：做出是否受理法律援助申请的决定，对符合法律援助条件的公民应当及时决定提供法律援助；对不符合法律援助条件的，应当书面告知申请人理由。</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4.事后监管责任：对辖区内法律援助活动进行指导；对法律援助案件的受援人和承办人进行日常监督。</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对不履行或不正确履行行政职责的行政机关及其工作人员、法律援助服务机构及其人员，依据《中华人民共和国监察法》</w:t>
            </w:r>
            <w:r>
              <w:rPr>
                <w:rFonts w:ascii="宋体" w:hAnsi="宋体" w:eastAsia="宋体" w:cs="宋体"/>
                <w:sz w:val="24"/>
                <w:szCs w:val="24"/>
              </w:rPr>
              <w:t>《中华人民共和国法律援助法》</w:t>
            </w:r>
            <w:r>
              <w:rPr>
                <w:rFonts w:hint="eastAsia" w:ascii="宋体" w:hAnsi="宋体" w:eastAsia="宋体"/>
                <w:color w:val="000000"/>
                <w:sz w:val="21"/>
                <w:szCs w:val="21"/>
              </w:rPr>
              <w:t>《法律援助条例》《四川省法律援助条例》《四川省行政机关工作人员行政过错责任追究试行办法》等法律法规规章的相关规定追究相应的责任。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1"/>
                <w:szCs w:val="21"/>
              </w:rPr>
            </w:pPr>
            <w:r>
              <w:rPr>
                <w:rFonts w:hint="eastAsia" w:ascii="宋体" w:hAnsi="宋体" w:eastAsia="宋体"/>
                <w:color w:val="000000"/>
                <w:sz w:val="21"/>
                <w:szCs w:val="21"/>
              </w:rPr>
              <w:t xml:space="preserve">     0825-2220379</w:t>
            </w:r>
          </w:p>
        </w:tc>
      </w:tr>
    </w:tbl>
    <w:p>
      <w:pPr>
        <w:spacing w:line="320" w:lineRule="exact"/>
        <w:rPr>
          <w:rFonts w:hint="eastAsia" w:ascii="黑体" w:hAnsi="黑体" w:eastAsia="黑体"/>
          <w:bCs/>
          <w:color w:val="000000"/>
          <w:sz w:val="32"/>
          <w:szCs w:val="32"/>
        </w:rPr>
      </w:pPr>
    </w:p>
    <w:p>
      <w:pPr>
        <w:spacing w:line="320" w:lineRule="exact"/>
        <w:rPr>
          <w:rFonts w:hint="eastAsia" w:ascii="黑体" w:hAnsi="黑体" w:eastAsia="黑体"/>
          <w:bCs/>
          <w:color w:val="000000"/>
        </w:rPr>
      </w:pPr>
      <w:r>
        <w:rPr>
          <w:rFonts w:hint="eastAsia" w:ascii="黑体" w:hAnsi="黑体" w:eastAsia="黑体"/>
          <w:bCs/>
          <w:color w:val="000000"/>
          <w:sz w:val="32"/>
          <w:szCs w:val="32"/>
        </w:rPr>
        <w:t>表2-1</w:t>
      </w:r>
      <w:r>
        <w:rPr>
          <w:rFonts w:hint="eastAsia" w:ascii="黑体" w:hAnsi="黑体" w:eastAsia="黑体"/>
          <w:bCs/>
          <w:color w:val="000000"/>
          <w:sz w:val="32"/>
          <w:szCs w:val="32"/>
          <w:lang w:val="en-US" w:eastAsia="zh-CN"/>
        </w:rPr>
        <w:t>1</w:t>
      </w:r>
    </w:p>
    <w:tbl>
      <w:tblPr>
        <w:tblStyle w:val="4"/>
        <w:tblpPr w:leftFromText="180" w:rightFromText="180" w:vertAnchor="text" w:horzAnchor="page" w:tblpX="1695" w:tblpY="13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法律援助补贴发放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遂宁市法律援助中心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1.受理责任：依法接收法律援助案件承办人员提交的法律文书副本或者复印件等结案材料。</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2.审查和决定责任：审核有关材料，审查合格的，应当及时支付法律援助办案补贴，审查不合格的，应当要求其整改。</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3.事后监管责任：加强对法律援助案件补贴发放的日常监督检查。</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对不履行或不正确履行行政职责的行政机关及其工作人员、法律援助服务机构及其人员，依据《中华人民共和国监察法》</w:t>
            </w:r>
            <w:r>
              <w:rPr>
                <w:rFonts w:ascii="宋体" w:hAnsi="宋体" w:eastAsia="宋体" w:cs="宋体"/>
                <w:sz w:val="24"/>
                <w:szCs w:val="24"/>
              </w:rPr>
              <w:t>《中华人民共和国法律援助法》</w:t>
            </w:r>
            <w:r>
              <w:rPr>
                <w:rFonts w:hint="eastAsia" w:ascii="宋体" w:hAnsi="宋体" w:eastAsia="宋体"/>
                <w:color w:val="000000"/>
                <w:sz w:val="21"/>
                <w:szCs w:val="21"/>
              </w:rPr>
              <w:t>《法律援助条例》《四川省法律援助条例》《四川省行政机关工作人员行政过错责任追究试行办法》等法律法规规章的相关规定追究相应的责任。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1"/>
                <w:szCs w:val="21"/>
              </w:rPr>
            </w:pPr>
            <w:r>
              <w:rPr>
                <w:rFonts w:hint="eastAsia" w:ascii="宋体" w:hAnsi="宋体" w:eastAsia="宋体"/>
                <w:color w:val="000000"/>
                <w:sz w:val="21"/>
                <w:szCs w:val="21"/>
              </w:rPr>
              <w:t xml:space="preserve">     0825-2220379</w:t>
            </w:r>
          </w:p>
        </w:tc>
      </w:tr>
    </w:tbl>
    <w:p>
      <w:pPr>
        <w:spacing w:line="320" w:lineRule="exact"/>
        <w:rPr>
          <w:rFonts w:hint="eastAsia" w:ascii="黑体" w:hAnsi="黑体" w:eastAsia="黑体"/>
          <w:bCs/>
          <w:color w:val="000000"/>
        </w:rPr>
      </w:pPr>
    </w:p>
    <w:p>
      <w:pPr>
        <w:spacing w:line="320" w:lineRule="exact"/>
        <w:rPr>
          <w:rFonts w:hint="eastAsia" w:ascii="黑体" w:hAnsi="黑体" w:eastAsia="黑体"/>
          <w:bCs/>
          <w:color w:val="000000"/>
        </w:rPr>
      </w:pPr>
      <w:r>
        <w:rPr>
          <w:rFonts w:hint="eastAsia" w:ascii="黑体" w:hAnsi="黑体" w:eastAsia="黑体"/>
          <w:bCs/>
          <w:color w:val="000000"/>
          <w:sz w:val="32"/>
          <w:szCs w:val="32"/>
        </w:rPr>
        <w:t>表2-1</w:t>
      </w:r>
      <w:r>
        <w:rPr>
          <w:rFonts w:hint="eastAsia" w:ascii="黑体" w:hAnsi="黑体" w:eastAsia="黑体"/>
          <w:bCs/>
          <w:color w:val="000000"/>
          <w:sz w:val="32"/>
          <w:szCs w:val="32"/>
          <w:lang w:val="en-US" w:eastAsia="zh-CN"/>
        </w:rPr>
        <w:t>2</w:t>
      </w:r>
    </w:p>
    <w:tbl>
      <w:tblPr>
        <w:tblStyle w:val="4"/>
        <w:tblpPr w:leftFromText="180" w:rightFromText="180" w:vertAnchor="text" w:horzAnchor="page" w:tblpX="1695" w:tblpY="20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人民调解员补贴发放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人民参与和促进法治科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受理责任：能受理或通过补正达到受理条件的，直接进入受理步骤，当场出具受理通知书；根据一次性告知通知书内容进行补正后达到受理条件的，出具决定受理通知书；收件之日起5个工作日内未收到一次性告知通知书的，从收件之日起即为受理。</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2.审查责任：提出初步意见，转入决定步骤。该申请内容是否涉及国家秘密、工作秘密、商业秘密和个人隐私； 该申请内容是否符合《人民调解法》第十六条规定。</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3.决定责任：申请符合《人民调解法》第十六条规定的，准予发放；申请不符合《人民调解法》第十六条规定的，不准予发放。</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4.事后监管责任：复核审查步骤阶段提出的初步意见。</w:t>
            </w:r>
          </w:p>
          <w:p>
            <w:pPr>
              <w:ind w:firstLine="420" w:firstLineChars="200"/>
              <w:jc w:val="left"/>
              <w:rPr>
                <w:rFonts w:ascii="宋体" w:hAnsi="宋体" w:eastAsia="宋体" w:cs="宋体"/>
                <w:sz w:val="21"/>
                <w:szCs w:val="21"/>
              </w:rPr>
            </w:pPr>
            <w:r>
              <w:rPr>
                <w:rFonts w:hint="eastAsia" w:ascii="宋体" w:hAnsi="宋体" w:eastAsia="宋体" w:cs="宋体"/>
                <w:sz w:val="21"/>
                <w:szCs w:val="21"/>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ascii="宋体" w:hAnsi="宋体" w:eastAsia="宋体" w:cs="宋体"/>
                <w:sz w:val="21"/>
                <w:szCs w:val="21"/>
              </w:rPr>
            </w:pPr>
            <w:r>
              <w:rPr>
                <w:rFonts w:hint="eastAsia" w:ascii="宋体" w:hAnsi="宋体" w:eastAsia="宋体" w:cs="宋体"/>
                <w:sz w:val="21"/>
                <w:szCs w:val="21"/>
              </w:rPr>
              <w:t>对不履行或不正确履行行政职责的行政机关及其工作人员，依据《中华人民共和国人民调解法》第十六条等法律法规规章的相关规定追究相应的责任。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1"/>
                <w:szCs w:val="21"/>
              </w:rPr>
            </w:pPr>
            <w:r>
              <w:rPr>
                <w:rFonts w:hint="eastAsia" w:ascii="宋体" w:hAnsi="宋体" w:eastAsia="宋体"/>
                <w:color w:val="000000"/>
                <w:sz w:val="21"/>
                <w:szCs w:val="21"/>
              </w:rPr>
              <w:t xml:space="preserve">     0825-2220379</w:t>
            </w:r>
          </w:p>
        </w:tc>
      </w:tr>
    </w:tbl>
    <w:p>
      <w:pPr>
        <w:spacing w:line="320" w:lineRule="exact"/>
        <w:rPr>
          <w:rFonts w:ascii="黑体" w:hAnsi="黑体" w:eastAsia="黑体"/>
          <w:color w:val="000000"/>
        </w:rPr>
      </w:pPr>
      <w:r>
        <w:rPr>
          <w:rFonts w:hint="eastAsia" w:ascii="黑体" w:hAnsi="黑体" w:eastAsia="黑体"/>
          <w:bCs/>
          <w:color w:val="000000"/>
        </w:rPr>
        <w:t xml:space="preserve"> </w:t>
      </w:r>
    </w:p>
    <w:p>
      <w:pPr>
        <w:spacing w:line="320" w:lineRule="exact"/>
        <w:rPr>
          <w:rFonts w:hint="eastAsia" w:ascii="黑体" w:hAnsi="黑体" w:eastAsia="黑体"/>
          <w:bCs/>
          <w:color w:val="000000"/>
          <w:lang w:val="en-US" w:eastAsia="zh-CN"/>
        </w:rPr>
      </w:pPr>
      <w:r>
        <w:rPr>
          <w:rFonts w:hint="eastAsia" w:ascii="黑体" w:hAnsi="黑体" w:eastAsia="黑体"/>
          <w:bCs/>
          <w:color w:val="000000"/>
          <w:sz w:val="32"/>
          <w:szCs w:val="32"/>
        </w:rPr>
        <w:t>表2-1</w:t>
      </w:r>
      <w:r>
        <w:rPr>
          <w:rFonts w:hint="eastAsia" w:ascii="黑体" w:hAnsi="黑体" w:eastAsia="黑体"/>
          <w:bCs/>
          <w:color w:val="000000"/>
          <w:sz w:val="32"/>
          <w:szCs w:val="32"/>
          <w:lang w:val="en-US" w:eastAsia="zh-CN"/>
        </w:rPr>
        <w:t>3</w:t>
      </w:r>
    </w:p>
    <w:tbl>
      <w:tblPr>
        <w:tblStyle w:val="4"/>
        <w:tblpPr w:leftFromText="180" w:rightFromText="180" w:vertAnchor="text" w:horzAnchor="page" w:tblpX="1740" w:tblpY="21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人民调解员因从事工作致伤致残、牺牲的救助、抚恤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人民参与和促进法治科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1.受理责任：因从事调解工作致伤致残，生活发生困难的，当地人民政府应当提供必要的医疗、生活救助；在人民调解工作岗位上牺牲的人民调解员，其配偶、子女按照国家规定享受抚恤和优待。</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2.审查责任：人民调解员申请因工伤残救助审核表；人民调解员因工牺牲家属申请抚恤审核表按规定填写完整且真实有效；材料齐全，符合法定形式，补贴金额符合法定标准。</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决定责任：人民调解员申请因工伤残救助核准的条件：（1）申请人在因工伤残日之前是本市人民调解员名册中成员；（2）申请人因从事调解工作致伤致残，生活发生困难的。申请因工牺牲抚恤核准的条件：1.准予批准的条件：（1）申请人为因工伤牺牲人民调解员的配偶、子女。（2）因工伤牺牲人民调解员牺牲之前是本市人民调解员名册中成员。</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4.事后监管责任：复核审查步骤阶段提出的初步意见。</w:t>
            </w:r>
          </w:p>
          <w:p>
            <w:pPr>
              <w:ind w:firstLine="420" w:firstLineChars="200"/>
              <w:jc w:val="left"/>
              <w:rPr>
                <w:rFonts w:ascii="宋体" w:hAnsi="宋体" w:eastAsia="宋体" w:cs="宋体"/>
                <w:sz w:val="21"/>
                <w:szCs w:val="21"/>
              </w:rPr>
            </w:pPr>
            <w:r>
              <w:rPr>
                <w:rFonts w:hint="eastAsia" w:ascii="宋体" w:hAnsi="宋体" w:eastAsia="宋体" w:cs="宋体"/>
                <w:sz w:val="21"/>
                <w:szCs w:val="21"/>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ascii="宋体" w:hAnsi="宋体" w:eastAsia="宋体" w:cs="宋体"/>
                <w:sz w:val="21"/>
                <w:szCs w:val="21"/>
              </w:rPr>
            </w:pPr>
            <w:r>
              <w:rPr>
                <w:rFonts w:hint="eastAsia" w:ascii="宋体" w:hAnsi="宋体" w:eastAsia="宋体" w:cs="宋体"/>
                <w:sz w:val="21"/>
                <w:szCs w:val="21"/>
              </w:rPr>
              <w:t>对不履行或不正确履行行政职责的行政机关及其工作人员，依据《中华人民共和国人民调解法》第十六条等法律法规规章的相关规定追究相应的责任。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cs="宋体"/>
                <w:sz w:val="21"/>
                <w:szCs w:val="21"/>
              </w:rPr>
            </w:pPr>
            <w:r>
              <w:rPr>
                <w:rFonts w:hint="eastAsia" w:ascii="宋体" w:hAnsi="宋体" w:eastAsia="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cs="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pStyle w:val="2"/>
        <w:rPr>
          <w:rFonts w:hint="eastAsia"/>
        </w:rPr>
      </w:pPr>
    </w:p>
    <w:p>
      <w:pPr>
        <w:spacing w:line="320" w:lineRule="exact"/>
        <w:rPr>
          <w:rFonts w:hint="default"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14</w:t>
      </w:r>
    </w:p>
    <w:tbl>
      <w:tblPr>
        <w:tblStyle w:val="4"/>
        <w:tblpPr w:leftFromText="180" w:rightFromText="180" w:vertAnchor="text" w:horzAnchor="page" w:tblpX="1740" w:tblpY="13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对司法鉴定机构、司法鉴定人的监督检查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1.检查责任:司法行政部门根据本地区的实际情况，建立健全监督检查制度，在法定职权范围内对司法鉴定机构、司法鉴定人执业活动实施监督检查。</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司法鉴定机构、司法鉴定人违反法律法规的行为进行举报、投诉的，司法行政机关应当及时进行监督、检查，并根据调查结果进行处理。</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司法鉴定机构登记管理办法》、《司法鉴定人登记管理办法》、《四川省行政审批违法违纪行为责任追究办法》、《四川省行政机关工作人员行政过错责任追究试行办法》、《全国人民代表大会常务委员会关于司法鉴定管理问题的决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sz w:val="32"/>
          <w:szCs w:val="32"/>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表2-1</w:t>
      </w:r>
      <w:r>
        <w:rPr>
          <w:rFonts w:hint="eastAsia" w:ascii="黑体" w:hAnsi="黑体" w:eastAsia="黑体"/>
          <w:bCs/>
          <w:sz w:val="32"/>
          <w:szCs w:val="32"/>
          <w:lang w:val="en-US" w:eastAsia="zh-CN"/>
        </w:rPr>
        <w:t>5</w:t>
      </w:r>
    </w:p>
    <w:tbl>
      <w:tblPr>
        <w:tblStyle w:val="4"/>
        <w:tblpPr w:leftFromText="180" w:rightFromText="180" w:vertAnchor="text" w:horzAnchor="page" w:tblpX="1755" w:tblpY="194"/>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对公证机构、公证员的监督检查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1.检查责任:司法行政部门根据本地区的实际情况，建立健全监督检查制度，在法定职权范围内对公证机构、公证员执业活动实施监督检查。</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公证机构、公证员违反法律法规的行为进行举报、投诉的，司法行政机关应当及时进行监督、检查，并根据调查结果进行处理。</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公证法》、《公证员执业管理办法》、《中华人民共和国行政处罚法》、《行政机关公务员处分条例》、《四川省行政执法监督条例》、《公证机构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default"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16</w:t>
      </w:r>
    </w:p>
    <w:tbl>
      <w:tblPr>
        <w:tblStyle w:val="4"/>
        <w:tblpPr w:leftFromText="180" w:rightFromText="180" w:vertAnchor="text" w:horzAnchor="page" w:tblpX="1755" w:tblpY="197"/>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对律师事务所、律师执业的监督检查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1.检查责任:司法行政部门根据本地区的实际情况，建立健全监督检查制度，在法定职权范围内对律师事务所、律师执业活动实施监督检查。</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律师事务所、律师违反法律法规的行为进行举报、投诉的，司法行政机关应当及时进行监督、检查，并根据调查结果进行处理。</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行政机关公务员处分条例》、《四川省行政执法监督条例》、《律师事务所管理办法》、《律师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default"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17</w:t>
      </w:r>
    </w:p>
    <w:tbl>
      <w:tblPr>
        <w:tblStyle w:val="4"/>
        <w:tblpPr w:leftFromText="180" w:rightFromText="180" w:vertAnchor="text" w:horzAnchor="page" w:tblpX="1740" w:tblpY="22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对基层法律服务所的监督检查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1.检查责任:司法行政部门根据本地区的实际情况，建立健全监督检查制度，在法定职权范围内对基层法律服务所执业活动实施监督检查。</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基层法律服务所违反法律法规的行为进行举报、投诉的，司法行政机关应当及时进行监督、检查，并根据调查结果进行处理。</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基层法律服务所管理办法》、《行政机关公务员处分条例》、《四川省行政执法监督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default"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18</w:t>
      </w:r>
    </w:p>
    <w:tbl>
      <w:tblPr>
        <w:tblStyle w:val="4"/>
        <w:tblpPr w:leftFromText="180" w:rightFromText="180" w:vertAnchor="text" w:horzAnchor="page" w:tblpX="1755" w:tblpY="215"/>
        <w:tblOverlap w:val="never"/>
        <w:tblW w:w="9360" w:type="dxa"/>
        <w:tblInd w:w="0" w:type="dxa"/>
        <w:tblLayout w:type="fixed"/>
        <w:tblCellMar>
          <w:top w:w="0" w:type="dxa"/>
          <w:left w:w="108" w:type="dxa"/>
          <w:bottom w:w="0" w:type="dxa"/>
          <w:right w:w="108" w:type="dxa"/>
        </w:tblCellMar>
      </w:tblPr>
      <w:tblGrid>
        <w:gridCol w:w="1800"/>
        <w:gridCol w:w="7560"/>
      </w:tblGrid>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18</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对基层法律服务工作者的监督检查</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CellMar>
            <w:top w:w="0" w:type="dxa"/>
            <w:left w:w="108" w:type="dxa"/>
            <w:bottom w:w="0" w:type="dxa"/>
            <w:right w:w="108" w:type="dxa"/>
          </w:tblCellMar>
        </w:tblPrEx>
        <w:trPr>
          <w:trHeight w:val="3685"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1.检查责任:基层法律服务工作者定期或不定期监督检查。</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2.处置责任: 发现基层法律服务工作者有违反《四川省基层法律服务条例》《基层法律服务所管理办法》《基层法律服务工作者管理办法》的突出问题的，应当进行重点监督、检查。发现基层法律服务所、基层法律服务工作者有违反《四川省基层法律服务条例》第21条，《基层法律服务工作者管理办法》46条, 《基层法律服务所管理办法》36条规定的行为，应当及时立案调查，收集证据，查明事实，查实后依据《四川省基层法律服务条例》《基层法律服务工作者管理办法》《基层法律服务所管理办法》的规定，予以处罚。</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CellMar>
            <w:top w:w="0" w:type="dxa"/>
            <w:left w:w="108" w:type="dxa"/>
            <w:bottom w:w="0" w:type="dxa"/>
            <w:right w:w="108" w:type="dxa"/>
          </w:tblCellMar>
        </w:tblPrEx>
        <w:trPr>
          <w:trHeight w:val="3685"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问责依据</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职责的行政机关及其工作人员，依据《中华人民共和国行政监察法》《中华人民共和国行政许可法》《四川省基层法律服务条例》《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default" w:ascii="黑体" w:hAnsi="黑体" w:eastAsia="黑体"/>
          <w:bCs/>
          <w:sz w:val="32"/>
          <w:szCs w:val="32"/>
          <w:lang w:val="en-US" w:eastAsia="zh-CN"/>
        </w:rPr>
      </w:pPr>
      <w:r>
        <w:rPr>
          <w:rFonts w:hint="eastAsia" w:ascii="黑体" w:hAnsi="黑体" w:eastAsia="黑体"/>
          <w:bCs/>
          <w:sz w:val="32"/>
          <w:szCs w:val="32"/>
        </w:rPr>
        <w:t>表2-</w:t>
      </w:r>
      <w:r>
        <w:rPr>
          <w:rFonts w:hint="eastAsia" w:ascii="黑体" w:hAnsi="黑体" w:eastAsia="黑体"/>
          <w:bCs/>
          <w:sz w:val="32"/>
          <w:szCs w:val="32"/>
          <w:lang w:val="en-US" w:eastAsia="zh-CN"/>
        </w:rPr>
        <w:t>19</w:t>
      </w:r>
    </w:p>
    <w:tbl>
      <w:tblPr>
        <w:tblStyle w:val="4"/>
        <w:tblpPr w:leftFromText="180" w:rightFromText="180" w:vertAnchor="text" w:horzAnchor="page" w:tblpX="1740" w:tblpY="214"/>
        <w:tblOverlap w:val="never"/>
        <w:tblW w:w="9360" w:type="dxa"/>
        <w:tblInd w:w="0" w:type="dxa"/>
        <w:tblLayout w:type="fixed"/>
        <w:tblCellMar>
          <w:top w:w="0" w:type="dxa"/>
          <w:left w:w="108" w:type="dxa"/>
          <w:bottom w:w="0" w:type="dxa"/>
          <w:right w:w="108" w:type="dxa"/>
        </w:tblCellMar>
      </w:tblPr>
      <w:tblGrid>
        <w:gridCol w:w="1800"/>
        <w:gridCol w:w="7560"/>
      </w:tblGrid>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序号</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19</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权力类型</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 xml:space="preserve">  权力项目名称</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对人民调解委员会和人民调解员的表彰奖励</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责任主体</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公共法律服务管理科</w:t>
            </w:r>
          </w:p>
        </w:tc>
      </w:tr>
      <w:tr>
        <w:tblPrEx>
          <w:tblCellMar>
            <w:top w:w="0" w:type="dxa"/>
            <w:left w:w="108" w:type="dxa"/>
            <w:bottom w:w="0" w:type="dxa"/>
            <w:right w:w="108" w:type="dxa"/>
          </w:tblCellMar>
        </w:tblPrEx>
        <w:trPr>
          <w:trHeight w:val="3685"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 制定表彰方案：征求区（县）司法局意见，科学制定表彰方案。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 组织推荐责任：严格按照表彰方案规定的条件、程序，组织推荐工作，由区（县）司法局进行初审和复审。</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 审核公示责任：对区（县）推荐对象进行审核，送市司法局政治部备案，并进行公示。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 表彰责任：按照程序报市司法局党</w:t>
            </w:r>
            <w:r>
              <w:rPr>
                <w:rFonts w:hint="eastAsia" w:ascii="宋体" w:hAnsi="宋体" w:eastAsia="宋体"/>
                <w:sz w:val="21"/>
                <w:szCs w:val="21"/>
                <w:lang w:eastAsia="zh-CN"/>
              </w:rPr>
              <w:t>组</w:t>
            </w:r>
            <w:r>
              <w:rPr>
                <w:rFonts w:hint="eastAsia" w:ascii="宋体" w:hAnsi="宋体" w:eastAsia="宋体"/>
                <w:sz w:val="21"/>
                <w:szCs w:val="21"/>
              </w:rPr>
              <w:t>批准，以市司法局名义表彰并进行公示。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 其他责任：法律法规规章文件规定应履行的其他责任。</w:t>
            </w:r>
          </w:p>
        </w:tc>
      </w:tr>
      <w:tr>
        <w:tblPrEx>
          <w:tblCellMar>
            <w:top w:w="0" w:type="dxa"/>
            <w:left w:w="108" w:type="dxa"/>
            <w:bottom w:w="0" w:type="dxa"/>
            <w:right w:w="108" w:type="dxa"/>
          </w:tblCellMar>
        </w:tblPrEx>
        <w:trPr>
          <w:trHeight w:val="3685"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问责依据</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四川省人民调解条例》《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850" w:hRule="exac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表2-2</w:t>
      </w:r>
      <w:r>
        <w:rPr>
          <w:rFonts w:hint="eastAsia" w:ascii="黑体" w:hAnsi="黑体" w:eastAsia="黑体"/>
          <w:bCs/>
          <w:sz w:val="32"/>
          <w:szCs w:val="32"/>
          <w:lang w:val="en-US" w:eastAsia="zh-CN"/>
        </w:rPr>
        <w:t>0</w:t>
      </w:r>
    </w:p>
    <w:tbl>
      <w:tblPr>
        <w:tblStyle w:val="4"/>
        <w:tblpPr w:leftFromText="180" w:rightFromText="180" w:vertAnchor="text" w:horzAnchor="page" w:tblpX="1755" w:tblpY="182"/>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对法律援助服务机构和法律援助人员的表彰奖励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1.制定方案责任：按照相关表彰规章制度，科学制定表彰方案。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 xml:space="preserve">2.组织推荐责任：严格按照表彰方案规定的条件、程序，组织推荐或评选工作。 </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3.审核公示责任：对符合条件的推荐对象或评选对象进行审核，并报局领导班子集体研究审定后进行公示。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4.表彰责任：本级本部门表彰的按照程序进行表彰。报上级表彰的，报请上级研究决定，进行表彰。</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司法部办公厅关于评选表彰全国模范司法所及先进集体和先进个人的通知》、《司法部关于印发&lt;司法部关于司法行政系统表彰奖励工作的实施意见&gt;的通知》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lang w:val="en-US" w:eastAsia="zh-CN"/>
        </w:rPr>
      </w:pPr>
      <w:r>
        <w:rPr>
          <w:rFonts w:hint="eastAsia" w:ascii="黑体" w:hAnsi="黑体" w:eastAsia="黑体"/>
          <w:bCs/>
          <w:sz w:val="32"/>
          <w:szCs w:val="32"/>
        </w:rPr>
        <w:t>表2-2</w:t>
      </w:r>
      <w:r>
        <w:rPr>
          <w:rFonts w:hint="eastAsia" w:ascii="黑体" w:hAnsi="黑体" w:eastAsia="黑体"/>
          <w:bCs/>
          <w:sz w:val="32"/>
          <w:szCs w:val="32"/>
          <w:lang w:val="en-US" w:eastAsia="zh-CN"/>
        </w:rPr>
        <w:t>1</w:t>
      </w:r>
    </w:p>
    <w:tbl>
      <w:tblPr>
        <w:tblStyle w:val="4"/>
        <w:tblpPr w:leftFromText="180" w:rightFromText="180" w:vertAnchor="text" w:horzAnchor="page" w:tblpX="1770" w:tblpY="145"/>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default" w:ascii="宋体" w:hAnsi="宋体" w:eastAsia="宋体"/>
                <w:sz w:val="21"/>
                <w:szCs w:val="21"/>
                <w:lang w:val="en-US" w:eastAsia="zh-CN"/>
              </w:rPr>
            </w:pPr>
            <w:r>
              <w:rPr>
                <w:rFonts w:hint="eastAsia" w:ascii="宋体" w:hAnsi="宋体"/>
                <w:sz w:val="21"/>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对律师事务所、律师的表彰奖励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1.制定方案责任：按照相关表彰规章制度，科学制定表彰方案。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 xml:space="preserve">2.组织推荐责任：严格按照表彰方案规定的条件、程序，组织推荐或评选工作。 </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3.审核公示责任：对符合条件的推荐对象或评选对象进行审核，并报局领导班子集体研究审定后进行公示。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4.表彰责任：本级本部门表彰的按照程序进行表彰。报上级表彰的，报请上级研究决定，进行表彰。</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律师事务所管理办法》、《律师执业管理办法》、《四川省行政审批违法违纪行为责任追究办法》、《司法部办公厅关于评选表彰全国模范司法所及先进集体和先进个人的通知》、《司法部关于印发&lt;司法部关于司法行政系统表彰奖励工作的实施意见&gt;的通知》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宋体" w:hAnsi="宋体" w:eastAsia="宋体"/>
          <w:sz w:val="21"/>
          <w:szCs w:val="21"/>
        </w:rPr>
      </w:pPr>
    </w:p>
    <w:p>
      <w:pPr>
        <w:spacing w:line="320" w:lineRule="exact"/>
        <w:rPr>
          <w:rFonts w:hint="eastAsia" w:ascii="黑体" w:hAnsi="黑体" w:eastAsia="黑体"/>
          <w:sz w:val="32"/>
          <w:szCs w:val="32"/>
          <w:lang w:val="en-US" w:eastAsia="zh-CN"/>
        </w:rPr>
      </w:pPr>
      <w:r>
        <w:rPr>
          <w:rFonts w:hint="eastAsia" w:ascii="黑体" w:hAnsi="黑体" w:eastAsia="黑体"/>
          <w:sz w:val="32"/>
          <w:szCs w:val="32"/>
        </w:rPr>
        <w:t>表2-2</w:t>
      </w:r>
      <w:r>
        <w:rPr>
          <w:rFonts w:hint="eastAsia" w:ascii="黑体" w:hAnsi="黑体" w:eastAsia="黑体"/>
          <w:sz w:val="32"/>
          <w:szCs w:val="32"/>
          <w:lang w:val="en-US" w:eastAsia="zh-CN"/>
        </w:rPr>
        <w:t>2</w:t>
      </w:r>
    </w:p>
    <w:tbl>
      <w:tblPr>
        <w:tblStyle w:val="4"/>
        <w:tblpPr w:leftFromText="180" w:rightFromText="180" w:vertAnchor="text" w:horzAnchor="page" w:tblpX="1725" w:tblpY="20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lang w:val="en-US" w:eastAsia="zh-CN"/>
              </w:rPr>
            </w:pPr>
            <w:r>
              <w:rPr>
                <w:rFonts w:hint="eastAsia" w:ascii="宋体" w:hAnsi="宋体" w:eastAsia="宋体"/>
                <w:sz w:val="21"/>
                <w:szCs w:val="21"/>
              </w:rPr>
              <w:t>2</w:t>
            </w: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对基层法律服务所、基层法律服务工作者的表彰奖励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1.制定方案责任：按照相关表彰规章制度，科学制定表彰方案。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 xml:space="preserve">2.组织推荐责任：严格按照表彰方案规定的条件、程序，组织推荐或评选工作。 </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3.审核公示责任：对符合条件的推荐对象或评选对象进行审核，并报局领导班子集体研究审定后进行公示。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4.表彰责任：本级本部门表彰的按照程序进行表彰。报上级表彰的，报请上级研究决定，进行表彰。</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行政机关公务员处分条例》、《基层法律服务所管理办法》、《基层法律服务工作者管理办法》、《四川省行政审批违法违纪行为责任追究办法》、《司法部办公厅关于评选表彰全国模范司法所及先进集体和先进个人的通知》、《司法部关于印发&lt;司法部关于司法行政系统表彰奖励工作的实施意见&gt;的通知》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rPr>
      </w:pPr>
    </w:p>
    <w:p>
      <w:pPr>
        <w:spacing w:line="320" w:lineRule="exact"/>
        <w:rPr>
          <w:rFonts w:hint="eastAsia" w:ascii="黑体" w:hAnsi="黑体" w:eastAsia="黑体"/>
          <w:sz w:val="32"/>
          <w:szCs w:val="32"/>
          <w:lang w:val="en-US" w:eastAsia="zh-CN"/>
        </w:rPr>
      </w:pPr>
      <w:r>
        <w:rPr>
          <w:rFonts w:hint="eastAsia" w:ascii="黑体" w:hAnsi="黑体" w:eastAsia="黑体"/>
          <w:sz w:val="32"/>
          <w:szCs w:val="32"/>
        </w:rPr>
        <w:t>表2-2</w:t>
      </w:r>
      <w:r>
        <w:rPr>
          <w:rFonts w:hint="eastAsia" w:ascii="黑体" w:hAnsi="黑体" w:eastAsia="黑体"/>
          <w:sz w:val="32"/>
          <w:szCs w:val="32"/>
          <w:lang w:val="en-US" w:eastAsia="zh-CN"/>
        </w:rPr>
        <w:t>3</w:t>
      </w:r>
    </w:p>
    <w:tbl>
      <w:tblPr>
        <w:tblStyle w:val="4"/>
        <w:tblpPr w:leftFromText="180" w:rightFromText="180" w:vertAnchor="text" w:horzAnchor="page" w:tblpX="1755" w:tblpY="17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lang w:val="en-US" w:eastAsia="zh-CN"/>
              </w:rPr>
            </w:pPr>
            <w:r>
              <w:rPr>
                <w:rFonts w:hint="eastAsia" w:ascii="宋体" w:hAnsi="宋体" w:eastAsia="宋体"/>
                <w:sz w:val="21"/>
                <w:szCs w:val="21"/>
              </w:rPr>
              <w:t>2</w:t>
            </w:r>
            <w:r>
              <w:rPr>
                <w:rFonts w:hint="eastAsia" w:ascii="宋体" w:hAnsi="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lang w:eastAsia="zh-CN"/>
              </w:rPr>
            </w:pPr>
            <w:r>
              <w:rPr>
                <w:rFonts w:hint="eastAsia" w:ascii="宋体" w:hAnsi="宋体" w:eastAsia="宋体"/>
                <w:sz w:val="21"/>
                <w:szCs w:val="21"/>
              </w:rPr>
              <w:t>其他行政</w:t>
            </w:r>
            <w:r>
              <w:rPr>
                <w:rFonts w:hint="eastAsia" w:ascii="宋体" w:hAnsi="宋体"/>
                <w:sz w:val="21"/>
                <w:szCs w:val="21"/>
                <w:lang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对国家统一法律职业资格考试中违纪行为的处理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0"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bookmarkStart w:id="0" w:name="_Toc459798603"/>
            <w:bookmarkStart w:id="1" w:name="_Toc459798715"/>
            <w:bookmarkStart w:id="2" w:name="_Toc459798871"/>
            <w:r>
              <w:rPr>
                <w:rFonts w:hint="eastAsia" w:ascii="宋体" w:hAnsi="宋体" w:eastAsia="宋体"/>
                <w:sz w:val="21"/>
                <w:szCs w:val="21"/>
              </w:rPr>
              <w:t>一、违纪行为处理权限及种类</w:t>
            </w:r>
            <w:bookmarkEnd w:id="0"/>
            <w:bookmarkEnd w:id="1"/>
            <w:bookmarkEnd w:id="2"/>
          </w:p>
          <w:p>
            <w:pPr>
              <w:spacing w:line="280" w:lineRule="exact"/>
              <w:ind w:firstLine="420" w:firstLineChars="200"/>
              <w:rPr>
                <w:rFonts w:hint="eastAsia" w:ascii="宋体" w:hAnsi="宋体" w:eastAsia="宋体"/>
                <w:sz w:val="21"/>
                <w:szCs w:val="21"/>
              </w:rPr>
            </w:pPr>
            <w:bookmarkStart w:id="3" w:name="_Toc459798604"/>
            <w:bookmarkStart w:id="4" w:name="_Toc459798716"/>
            <w:bookmarkStart w:id="5" w:name="_Toc459798872"/>
            <w:r>
              <w:rPr>
                <w:rFonts w:hint="eastAsia" w:ascii="宋体" w:hAnsi="宋体" w:eastAsia="宋体"/>
                <w:sz w:val="21"/>
                <w:szCs w:val="21"/>
              </w:rPr>
              <w:t>根据违纪情节的不同分别给予如下权限和种类处理：1.报名无效、二年内不得报名参加国家统一法律职业资格考试；2.给予口头警告，责令改正；经口头警告仍不改正或者情节严重的，由考点总监考决定给予其终止本场考试、责令离开考场的处理，并由考区所在地司法行政机关给予其取消本场考试成绩的处理；3.由总监考决定给予其终止本场考试、责令离开考场的处理，并由考区所在地司法行政机关决定给予其当年考试成绩无效、二年内不得报名参加国家统一法律职业资格考试的处理报名人员；4.应试人员或者其他相关人员有本章规定情形，涉嫌构成违反治安管理行为的，移交公安机关处理；涉嫌构成犯罪的，移交司法机关处理。</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二、违纪行为的调查取证</w:t>
            </w:r>
            <w:bookmarkEnd w:id="3"/>
            <w:bookmarkEnd w:id="4"/>
            <w:bookmarkEnd w:id="5"/>
            <w:r>
              <w:rPr>
                <w:rFonts w:hint="eastAsia" w:ascii="宋体" w:hAnsi="宋体" w:eastAsia="宋体"/>
                <w:sz w:val="21"/>
                <w:szCs w:val="21"/>
              </w:rPr>
              <w:t>责任</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考试工作人员发现应试人员有违纪行为时，应及时制止，并立即采取必要的证据保全措施，对违纪使用的相关工具、材料等予以暂扣，当场填写《暂扣违纪工具材料单》，由违纪人员签字确认。《暂扣违纪工具材料单》一式两份，一份交违纪人员，另一份由考区所在地的市（州）司法局留存。</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考试工作人员应及时进行询问调查，并制作《询问笔录》，内容包括违纪人员姓名、工作单位等基本情况；违纪行为发生的时间、地点和详细经过，并由被询问的违纪人员签字确认。违纪人员拒绝在《询问笔录》上签字的，负责调查处理的考试工作人员应当注明情况。</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3.考试工作人员应当填写《违纪行为处理报告单》，并在《考场情况记录单》上记录违纪情况。</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4.需要收集的主要证据材料：考试作弊的工具、材料和暂扣作弊工具材料单。询问笔录。考场情况记录单。违纪行为处理报告单。其他能够证明违纪行为的证据材料。</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三．事后监督责任：建立实施监督检查的运行机制和管理制度，对考场进行全程监控</w:t>
            </w:r>
            <w:r>
              <w:rPr>
                <w:rFonts w:hint="eastAsia" w:ascii="宋体" w:hAnsi="宋体"/>
                <w:sz w:val="21"/>
                <w:szCs w:val="21"/>
                <w:lang w:eastAsia="zh-CN"/>
              </w:rPr>
              <w:t>录像</w:t>
            </w:r>
            <w:r>
              <w:rPr>
                <w:rFonts w:hint="eastAsia" w:ascii="宋体" w:hAnsi="宋体" w:eastAsia="宋体"/>
                <w:sz w:val="21"/>
                <w:szCs w:val="21"/>
              </w:rPr>
              <w:t>并存档，对报名、应试人员及其他相关人员的违纪行为作出处理决定前，应当告知作出处理决定的事实、理由及依据，并告知应试人员享有陈述、申辩的权利，对作出二年内或者终身不得报名参加国家统一法律职业资格考试处理决定之前，应当告知当事人有要求举行听证的权利。违纪行为处理一般的处理限期为60个工作日。对上述程序严格履行监督责任。</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四．其他责任：法律法规规章文件规定应履行的其他责任。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问责依据</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四川省行政审批违法违纪行为责任追究办法》《国家统一法律职业资格考试违纪行为处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ascii="宋体" w:hAnsi="宋体" w:eastAsia="宋体"/>
                <w:sz w:val="21"/>
                <w:szCs w:val="21"/>
              </w:rPr>
            </w:pPr>
            <w:r>
              <w:rPr>
                <w:rFonts w:hint="eastAsia" w:ascii="宋体" w:hAnsi="宋体" w:eastAsia="宋体"/>
                <w:sz w:val="21"/>
                <w:szCs w:val="21"/>
              </w:rPr>
              <w:t>0825-2220379</w:t>
            </w:r>
          </w:p>
        </w:tc>
      </w:tr>
    </w:tbl>
    <w:p/>
    <w:sectPr>
      <w:footerReference r:id="rId5" w:type="first"/>
      <w:footerReference r:id="rId3" w:type="default"/>
      <w:footerReference r:id="rId4" w:type="even"/>
      <w:pgSz w:w="11906" w:h="16838"/>
      <w:pgMar w:top="2126" w:right="1502" w:bottom="2013" w:left="1616" w:header="851" w:footer="1587" w:gutter="0"/>
      <w:pgNumType w:fmt="numberInDash"/>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zAxOWUxYmFhZDhhYjg4YjdlMGFmMzA1ZjIyNjQifQ=="/>
  </w:docVars>
  <w:rsids>
    <w:rsidRoot w:val="135F6625"/>
    <w:rsid w:val="00127BF3"/>
    <w:rsid w:val="046D61C7"/>
    <w:rsid w:val="0E976A31"/>
    <w:rsid w:val="111D5E14"/>
    <w:rsid w:val="135F6625"/>
    <w:rsid w:val="25302162"/>
    <w:rsid w:val="2BFA62B3"/>
    <w:rsid w:val="331617F7"/>
    <w:rsid w:val="35B62123"/>
    <w:rsid w:val="3A953E89"/>
    <w:rsid w:val="3AB81476"/>
    <w:rsid w:val="46CD06C6"/>
    <w:rsid w:val="4B3302B8"/>
    <w:rsid w:val="54850380"/>
    <w:rsid w:val="5E1364E5"/>
    <w:rsid w:val="628A7CFA"/>
    <w:rsid w:val="6314284C"/>
    <w:rsid w:val="645F66FD"/>
    <w:rsid w:val="6A69476A"/>
    <w:rsid w:val="6AF76FDC"/>
    <w:rsid w:val="79115D00"/>
    <w:rsid w:val="7986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1680"/>
    </w:pPr>
    <w:rPr>
      <w:sz w:val="15"/>
      <w:szCs w:val="15"/>
    </w:rPr>
  </w:style>
  <w:style w:type="paragraph" w:styleId="3">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12749</Words>
  <Characters>13220</Characters>
  <Lines>0</Lines>
  <Paragraphs>0</Paragraphs>
  <TotalTime>4</TotalTime>
  <ScaleCrop>false</ScaleCrop>
  <LinksUpToDate>false</LinksUpToDate>
  <CharactersWithSpaces>13300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2021-04-29T14:38:00Z</dcterms:created>
  <dc:creator>Administrator</dc:creator>
  <cp:lastModifiedBy>波波儿</cp:lastModifiedBy>
  <dcterms:modified xsi:type="dcterms:W3CDTF">2024-05-17T06:57:47Z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95D00449D0EF45C3996DAA08D6B8E128_13</vt:lpwstr>
  </property>
</Properties>
</file>