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eastAsia="方正小标宋简体"/>
          <w:b w:val="0"/>
          <w:bCs/>
          <w:spacing w:val="-6"/>
          <w:sz w:val="44"/>
          <w:szCs w:val="52"/>
        </w:rPr>
      </w:pPr>
      <w:r>
        <w:rPr>
          <w:rFonts w:hint="eastAsia" w:eastAsia="方正小标宋简体"/>
          <w:b w:val="0"/>
          <w:bCs/>
          <w:spacing w:val="-6"/>
          <w:sz w:val="44"/>
          <w:szCs w:val="52"/>
          <w:lang w:eastAsia="zh-CN"/>
        </w:rPr>
        <w:t>遂宁市税务局</w:t>
      </w:r>
      <w:r>
        <w:rPr>
          <w:rFonts w:eastAsia="方正小标宋简体"/>
          <w:b w:val="0"/>
          <w:bCs/>
          <w:spacing w:val="-6"/>
          <w:sz w:val="44"/>
          <w:szCs w:val="52"/>
        </w:rPr>
        <w:t>“四个服务”事项清单</w:t>
      </w:r>
    </w:p>
    <w:p>
      <w:pPr>
        <w:pStyle w:val="2"/>
      </w:pPr>
      <w:bookmarkStart w:id="0" w:name="_GoBack"/>
      <w:bookmarkEnd w:id="0"/>
    </w:p>
    <w:tbl>
      <w:tblPr>
        <w:tblStyle w:val="8"/>
        <w:tblW w:w="12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180"/>
        <w:gridCol w:w="1662"/>
        <w:gridCol w:w="1958"/>
        <w:gridCol w:w="1984"/>
        <w:gridCol w:w="147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责任科室</w:t>
            </w:r>
            <w:r>
              <w:rPr>
                <w:rFonts w:eastAsia="方正黑体简体"/>
                <w:b w:val="0"/>
                <w:bCs/>
                <w:color w:val="000000"/>
                <w:spacing w:val="0"/>
                <w:sz w:val="28"/>
                <w:szCs w:val="36"/>
              </w:rPr>
              <w:t>（科级事业单位）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履职事项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工作事项名称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工作事项类别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  <w:lang w:val="en"/>
              </w:rPr>
              <w:t>责任人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纳税服务科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" w:eastAsia="zh-CN"/>
              </w:rPr>
              <w:t xml:space="preserve">  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基础信息报告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自然人自主报告身份信息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流程图1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纳税服务科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" w:eastAsia="zh-CN"/>
              </w:rPr>
              <w:t> 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基础信息报告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解除相关人员关联关系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流程图2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纳税服务科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" w:eastAsia="zh-CN"/>
              </w:rPr>
              <w:t> 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基础信息报告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存款账户账号报告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纳税服务科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" w:eastAsia="zh-CN"/>
              </w:rPr>
              <w:t> 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基础信息报告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财务会计制度及核算软件备案报告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纳税服务科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" w:eastAsia="zh-CN"/>
              </w:rPr>
              <w:t> 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发票领用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发票缴销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纳税服务科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" w:eastAsia="zh-CN"/>
              </w:rPr>
              <w:t> 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证明开具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开具税收完税证明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流程图6承诺办结时间：即时办结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纳税服务科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" w:eastAsia="zh-CN"/>
              </w:rPr>
              <w:t> 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证明开具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开具个人所得税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纳税记录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流程图7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" w:eastAsia="zh-CN"/>
              </w:rPr>
              <w:t>纳税服务科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" w:eastAsia="zh-CN"/>
              </w:rPr>
              <w:t> 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证明开具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开具无欠税证明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申报错误更正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状态信息报告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纳税人合并分立情况报告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制度信息报告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银税三方（委托）划缴协议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涉税信息查询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纳税人涉税信息查询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流程图9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涉税信息查询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社会公众涉税公开信息查询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财产和行为税税源信息报告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信用评价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重大税收违法失信主体名单信用复核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承诺办结时间：7个工作日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涉税咨询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面对面咨询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涉税咨询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电话咨询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资格信息报告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选择按小规模纳税人纳税的情况说明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纳税服务投诉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纳税服务投诉处理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公共服务类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（依申请服务）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承诺办结时间：对（1）（2）类，即时办结。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（3）-（6）类，自受理之日起1个工作日内办结。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对服务言行类投诉，自受理之日起2个工作日内办结；服务质效类、其他侵害纳税人合法权益类投诉，自受理之日起3个工作日内办结。因情况复杂不能按期办结的，经受理税务机关纳税服务部门负责人批准，可适当延长办理期限，最长不得超过10个工作日，同时向转办部门进行说明并向投诉人做好解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发票领用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发票票种核定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行政审批类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（行政确认）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承诺办结时间：2个工作日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征收管理科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其他发票使用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印有本单位名称发票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行政审批类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（行政确认）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发票真伪鉴定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发票真伪鉴定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行政审批类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（行政确认）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流程图12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货物与劳务税科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税务管理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出口退（免）税分类管理评定申请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行政审批类（行政确认）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承诺办结时间：20个工作日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企业所得税科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税务管理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境外注册中资控股居民企业身份认定申请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行政审批类（行政确认）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承诺办结时间：20个工作日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信用评价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纳税信用复核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行政审批类（行政确认）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承诺办结时间：8个工作日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货物与劳务税科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税务行政许可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增值税防伪税控系统最高开票限额审批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行政审批类（行政许可）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流程图13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市税务局稽查局、市税务局第一稽查局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打击涉税违法行为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查处为他人、为自己开具与实际经营业务情况不符的发票；让他人为自己开具与实际经营业务情况不符的发票；介绍他人开具与实际经营业务情况不符的发票的违法行为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行政执法类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（行政检查）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钟冀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市税务局稽查局、市税务局第一稽查局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打击涉税违法行为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处纳税人、扣缴义务人伪造、变造、隐匿、擅自销毁账簿、记账凭证，或者在账簿上多列支出或者不列、少列收入，或者经税务机关通知申报而拒不申报或者进行虚假的纳税申报，不缴或者少缴应纳税款的违法行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行政执法类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（行政检查）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陈永宏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市税务局稽查局、市税务局第一稽查局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打击涉税违法行为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查处纳税人采取转移或者隐匿财产的手段，妨碍税务机关追缴欠缴的税款的违法行为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行政执法类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（行政检查）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唐彪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市税务局稽查局、市税务局第一稽查局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打击涉税违法行为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查处以假报出口或者其他欺骗手段，骗取国家出口退税款的违法行为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行政执法类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（行政检查）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钟冀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市税务局稽查局、市税务局第一稽查局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打击涉税违法行为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查处以暴力、威胁方法拒不缴纳税款的违法行为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行政执法类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（行政处罚）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钟冀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市税务局稽查局、市税务局第一稽查局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打击涉税违法行为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查处纳税人、扣缴义务人逃避、拒绝或者以其他方式阻挠税务机关检查的违法行为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行政执法类（行政处罚）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唐彪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市税务局稽查局、市税务局第一稽查局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落实法律法规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开展稽查案件审理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行政执法类（行政处罚）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刘容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市税务局稽查局及市税务局第一稽查局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统筹稽查案源管理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开展“双随机、一公开”监管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行政执法类（行政检查）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周鑫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市税务局稽查局及市税务局第一稽查局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打击涉税违法行为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督促纳税人履行税务处理、处罚决定，采取税收保全和强制措施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行政执法类（行政强制）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唐彪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市税务局稽查局及市税务局第一稽查局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打击涉税违法行为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查处纳税人采取欺骗、隐瞒等手段提供担保，造成应缴税款损失的违法行为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行政执法类（行政处罚）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唐彪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基础信息报告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纳税人（扣缴义务人）身份信息报告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资格信息报告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增值税一般纳税人登记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基础信息报告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一照一码户信息变更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流程图15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跨区域涉税事项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跨区域涉税事项报验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跨区域涉税事项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跨区域涉税事项报告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跨区域涉税事项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跨区域涉税事项信息反馈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流程图17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发票代开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代开增值税专用发票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发票代开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代开增值税普通发票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发票代开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代开发票作废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货物与劳务税科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发票使用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数电票赋额调整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流程图21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保险费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申报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灵活就业人员社会保险费申报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保险费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城乡居民社会保险费申报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流程图23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税务注销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即时办理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税务注销即时办理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（其他行政权力）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流程图24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增值税一般纳税人申报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消费税申报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车辆购置税申报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流程图27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居民企业（查账征收）企业所得税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年度申报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经营所得个人所得税年度申报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流程图29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房产税申报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流程图30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城镇土地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使用税申报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土地增值税清算申报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承诺办结时间：90日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耕地占用税申报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资源税申报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契税申报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流程图35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法定办结时间：即时办结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印花税申报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车船税申报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烟叶税申报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流程图38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环境保护税申报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房地产交易税费申报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残疾人就业保障金申报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流程图41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非税收入通用申报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货物与劳务税科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退（抵）税（费）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增值税期末留抵税额退税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流程图42</w:t>
            </w:r>
          </w:p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承诺办结时间：7个工作日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税费申报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增值税预缴申报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税收减免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增值税适用加计抵减政策申明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承诺办结时间：即时办结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其他发票使用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海关缴款书核查申请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承诺办结时间：3个工作日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退（抵）税（费）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误收多缴退抵税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退（抵）税（费）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入库减免退抵税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承诺办结时间：15日内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退（抵）税（费）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车辆购置税退税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承诺办结时间：10个工作日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  <w:t>纳税服务科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  <w:t>退（抵）税（费）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车船税退抵税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其他类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（行政征收）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县（市、区）办税服务厅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承诺办结时间：10日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000000"/>
          <w:sz w:val="22"/>
          <w:szCs w:val="22"/>
          <w:lang w:val="en-US" w:eastAsia="zh-CN"/>
        </w:rPr>
      </w:pPr>
    </w:p>
    <w:p/>
    <w:sectPr>
      <w:footerReference r:id="rId3" w:type="default"/>
      <w:pgSz w:w="16838" w:h="11906" w:orient="landscape"/>
      <w:pgMar w:top="1531" w:right="1814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F9DC7"/>
    <w:rsid w:val="0F77365F"/>
    <w:rsid w:val="2FE974D8"/>
    <w:rsid w:val="3AFF0ADE"/>
    <w:rsid w:val="5EFF6CBA"/>
    <w:rsid w:val="643FDE41"/>
    <w:rsid w:val="657F9DC7"/>
    <w:rsid w:val="6EFD71A9"/>
    <w:rsid w:val="6FFFA720"/>
    <w:rsid w:val="739FEA82"/>
    <w:rsid w:val="78BF5AC6"/>
    <w:rsid w:val="7E6A0352"/>
    <w:rsid w:val="AF7732C1"/>
    <w:rsid w:val="CEB741AA"/>
    <w:rsid w:val="EEF5EB27"/>
    <w:rsid w:val="F6EFF4B6"/>
    <w:rsid w:val="F7C19641"/>
    <w:rsid w:val="FD3E1AEC"/>
    <w:rsid w:val="FDFC9885"/>
    <w:rsid w:val="FFF6CE7B"/>
    <w:rsid w:val="FFFAB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  <w:lang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Normal Indent"/>
    <w:basedOn w:val="1"/>
    <w:next w:val="3"/>
    <w:qFormat/>
    <w:uiPriority w:val="0"/>
    <w:pPr>
      <w:widowControl w:val="0"/>
      <w:suppressAutoHyphens/>
      <w:bidi w:val="0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 First Indent 21"/>
    <w:basedOn w:val="12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customStyle="1" w:styleId="12">
    <w:name w:val="Body Text Indent1"/>
    <w:basedOn w:val="1"/>
    <w:qFormat/>
    <w:uiPriority w:val="0"/>
    <w:pPr>
      <w:ind w:left="20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2025-06-28T16:13:00Z</dcterms:created>
  <dc:creator>user</dc:creator>
  <cp:lastModifiedBy>snsw</cp:lastModifiedBy>
  <cp:lastPrinted>2025-06-28T07:01:00Z</cp:lastPrinted>
  <dcterms:modified xsi:type="dcterms:W3CDTF">2025-08-04T11:08:35Z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