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eastAsia="方正小标宋简体"/>
          <w:b w:val="0"/>
          <w:bCs/>
          <w:spacing w:val="-6"/>
          <w:sz w:val="44"/>
          <w:szCs w:val="52"/>
        </w:rPr>
      </w:pPr>
      <w:r>
        <w:rPr>
          <w:rFonts w:eastAsia="方正小标宋简体"/>
          <w:b w:val="0"/>
          <w:bCs/>
          <w:spacing w:val="-6"/>
          <w:sz w:val="44"/>
          <w:szCs w:val="52"/>
        </w:rPr>
        <w:t>市级部门（单位）“四个服务”事项清单</w:t>
      </w:r>
    </w:p>
    <w:p>
      <w:pPr>
        <w:adjustRightInd w:val="0"/>
        <w:snapToGrid w:val="0"/>
        <w:spacing w:line="520" w:lineRule="exact"/>
        <w:rPr>
          <w:rFonts w:hint="default" w:eastAsia="楷体_GB2312"/>
          <w:b w:val="0"/>
          <w:bCs/>
          <w:spacing w:val="-6"/>
          <w:szCs w:val="32"/>
          <w:lang w:val="en-US" w:eastAsia="zh-CN"/>
        </w:rPr>
      </w:pPr>
      <w:r>
        <w:rPr>
          <w:rFonts w:eastAsia="楷体_GB2312"/>
          <w:b w:val="0"/>
          <w:bCs/>
          <w:spacing w:val="-6"/>
          <w:sz w:val="28"/>
          <w:szCs w:val="36"/>
        </w:rPr>
        <w:t xml:space="preserve">部门（单位）名称： </w:t>
      </w:r>
      <w:r>
        <w:rPr>
          <w:rFonts w:hint="eastAsia" w:eastAsia="楷体_GB2312"/>
          <w:b w:val="0"/>
          <w:bCs/>
          <w:spacing w:val="-6"/>
          <w:sz w:val="28"/>
          <w:szCs w:val="36"/>
          <w:lang w:val="en-US" w:eastAsia="zh-CN"/>
        </w:rPr>
        <w:t>遂宁市卫生健康委</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55"/>
        <w:gridCol w:w="4236"/>
        <w:gridCol w:w="4200"/>
        <w:gridCol w:w="1584"/>
        <w:gridCol w:w="103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序号</w:t>
            </w:r>
          </w:p>
        </w:tc>
        <w:tc>
          <w:tcPr>
            <w:tcW w:w="115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责任科室（科级事业单位）</w:t>
            </w:r>
          </w:p>
        </w:tc>
        <w:tc>
          <w:tcPr>
            <w:tcW w:w="423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履职事项</w:t>
            </w:r>
          </w:p>
        </w:tc>
        <w:tc>
          <w:tcPr>
            <w:tcW w:w="420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工作事项名称</w:t>
            </w:r>
          </w:p>
        </w:tc>
        <w:tc>
          <w:tcPr>
            <w:tcW w:w="158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工作事项类别</w:t>
            </w:r>
          </w:p>
        </w:tc>
        <w:tc>
          <w:tcPr>
            <w:tcW w:w="103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t>责任人</w:t>
            </w:r>
          </w:p>
        </w:tc>
        <w:tc>
          <w:tcPr>
            <w:tcW w:w="140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562" w:type="dxa"/>
            <w:tcBorders>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w:t>
            </w:r>
          </w:p>
        </w:tc>
        <w:tc>
          <w:tcPr>
            <w:tcW w:w="115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政策法规科（行政审批科）（科长：奉剑君）</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医疗机构设置审批</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1.中外合资合作、港澳台医疗机构设置审批</w:t>
            </w:r>
          </w:p>
        </w:tc>
        <w:tc>
          <w:tcPr>
            <w:tcW w:w="158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noWrap w:val="0"/>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w:t>
            </w:r>
          </w:p>
        </w:tc>
        <w:tc>
          <w:tcPr>
            <w:tcW w:w="115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pPr>
          </w:p>
        </w:tc>
        <w:tc>
          <w:tcPr>
            <w:tcW w:w="4236"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pP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2.内资医疗机构设置审批</w:t>
            </w:r>
          </w:p>
        </w:tc>
        <w:tc>
          <w:tcPr>
            <w:tcW w:w="158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03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40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医疗机构执业登记</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1.医疗机构执业登记（新办）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0" w:name="OLE_LINK1"/>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w:t>
            </w:r>
            <w:bookmarkEnd w:id="0"/>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"http://www.sczwfw.gov.cn/jiq/front/transition/ywTransToDetail?areaCode=510900000000&amp;itemCode=511A2301000020-510900000000-000-11510800326994017N-1-00&amp;taskType=1&amp;deptCode=008490438" \o "医疗机构执业变更（即办件）（市级）"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医疗机构执业(变更</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"http://www.sczwfw.gov.cn/jiq/front/transition/ywTransToDetail?areaCode=510900000000&amp;itemCode=511A2301000006-510900000000-000-11510800326994017N-1-00&amp;taskType=1&amp;deptCode=008490438" \o "医疗机构执业审批（校验）（市级）"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医疗机构执业审批（校验）</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法定办结时限：60个工作日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"http://www.sczwfw.gov.cn/jiq/front/transition/ywTransToDetail?areaCode=510900000000&amp;itemCode=511A2301000005-510900000000-000-11510800326994017N-1-00&amp;taskType=1&amp;deptCode=008490438" \o "医疗机构执业许可证遗失补办(市级)"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医疗机构执业许可证(遗失补办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 w:name="OLE_LINK2"/>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1"/>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"http://www.sczwfw.gov.cn/jiq/front/transition/ywTransToDetail?areaCode=510900000000&amp;itemCode=511A2301000007-510900000000-000-11510800326994017N-1-00&amp;taskType=1&amp;deptCode=008490438" \o "医疗机构执业审批（注销）（市级）"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医疗机构执业审批（注销）</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法定办结时限：34个工作日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单采血浆站设置审批</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单采血浆站设置审批</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2" w:name="OLE_LINK3"/>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2"/>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医师执业注册</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1.医师执业注册（新办）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3" w:name="OLE_LINK4"/>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3"/>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2.医师执业注册（变更）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3.医师执业注册（多机构备案）</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color w:val="000000" w:themeColor="text1"/>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color w:val="000000" w:themeColor="text1"/>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4.医师执业注册（注销）</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护士执业注册</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护士执业注册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新办</w:t>
            </w:r>
            <w:r>
              <w:rPr>
                <w:rFonts w:hint="eastAsia" w:ascii="宋体" w:hAnsi="宋体" w:eastAsia="宋体" w:cs="宋体"/>
                <w:color w:val="000000" w:themeColor="text1"/>
                <w:sz w:val="24"/>
                <w:szCs w:val="24"/>
                <w:lang w:eastAsia="zh-CN"/>
                <w14:textFill>
                  <w14:solidFill>
                    <w14:schemeClr w14:val="tx1"/>
                  </w14:solidFill>
                </w14:textFill>
              </w:rPr>
              <w:t>）</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2.护士执业注册（变更）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3.护士执业注册（注销）</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外籍医师在华短期执业许可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外籍医师在华短期执业许可</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w:t>
            </w:r>
            <w:bookmarkStart w:id="4" w:name="OLE_LINK16"/>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个工作日</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医疗机构购用</w:t>
            </w:r>
            <w:r>
              <w:rPr>
                <w:rFonts w:ascii="宋体" w:hAnsi="宋体" w:eastAsia="宋体" w:cs="宋体"/>
                <w:color w:val="000000" w:themeColor="text1"/>
                <w:sz w:val="24"/>
                <w:szCs w:val="24"/>
                <w:highlight w:val="none"/>
                <w14:textFill>
                  <w14:solidFill>
                    <w14:schemeClr w14:val="tx1"/>
                  </w14:solidFill>
                </w14:textFill>
              </w:rPr>
              <w:t>麻醉药</w:t>
            </w:r>
            <w:r>
              <w:rPr>
                <w:rFonts w:ascii="宋体" w:hAnsi="宋体" w:eastAsia="宋体" w:cs="宋体"/>
                <w:color w:val="000000" w:themeColor="text1"/>
                <w:sz w:val="24"/>
                <w:szCs w:val="24"/>
                <w14:textFill>
                  <w14:solidFill>
                    <w14:schemeClr w14:val="tx1"/>
                  </w14:solidFill>
                </w14:textFill>
              </w:rPr>
              <w:t>品、第一类</w:t>
            </w:r>
            <w:r>
              <w:rPr>
                <w:rFonts w:ascii="宋体" w:hAnsi="宋体" w:eastAsia="宋体" w:cs="宋体"/>
                <w:color w:val="000000" w:themeColor="text1"/>
                <w:sz w:val="24"/>
                <w:szCs w:val="24"/>
                <w:highlight w:val="none"/>
                <w14:textFill>
                  <w14:solidFill>
                    <w14:schemeClr w14:val="tx1"/>
                  </w14:solidFill>
                </w14:textFill>
              </w:rPr>
              <w:t>精神 药品</w:t>
            </w:r>
            <w:r>
              <w:rPr>
                <w:rFonts w:ascii="宋体" w:hAnsi="宋体" w:eastAsia="宋体" w:cs="宋体"/>
                <w:color w:val="000000" w:themeColor="text1"/>
                <w:sz w:val="24"/>
                <w:szCs w:val="24"/>
                <w14:textFill>
                  <w14:solidFill>
                    <w14:schemeClr w14:val="tx1"/>
                  </w14:solidFill>
                </w14:textFill>
              </w:rPr>
              <w:t>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麻醉药</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品和第一类</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购用许可（新办）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5" w:name="OLE_LINK5"/>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流程图8</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"http://www.sczwfw.gov.cn/jiq/front/transition/ywTransToDetail?areaCode=510900000000&amp;itemCode=511A0012800014-510900000000-000-008490438-1-00&amp;taskType=1&amp;deptCode=008490438" \o "</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麻醉药</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品和第一类</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精神药品</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购用许可延续"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麻醉药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品和第一类</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精神药品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购用许可（延续）</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"http://www.sczwfw.gov.cn/jiq/front/transition/ywTransToDetail?areaCode=510900000000&amp;itemCode=511A0012800010-510900000000-000-11510800326994017N-1-00&amp;taskType=1&amp;deptCode=008490438" \o "</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麻醉药</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品和第一类</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精神药品</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购用许可变更"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麻醉药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品和第一类</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精神药品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购用许可（变更）</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"http://www.sczwfw.gov.cn/jiq/front/transition/ywTransToDetail?areaCode=510900000000&amp;itemCode=511A23029001-510900000000-000-11510800326994017N-1-00&amp;taskType=1&amp;deptCode=008490438" \o "</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麻醉药</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品和第一类</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精神药品</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购用许可遗失补办"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麻醉药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品和第一类</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精神药品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购用许可遗失补办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饮用水供水单位卫生许可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1.饮用水供水单位卫生许可（新办）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6" w:name="OLE_LINK6"/>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bookmarkEnd w:id="6"/>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"http://www.sczwfw.gov.cn/jiq/front/transition/ywTransToDetail?areaCode=510900000000&amp;itemCode=511A23026003-510900000000-000-11510800326994017N-1-00&amp;taskType=1&amp;deptCode=008490438" \o "饮用水供水单位卫生许可变更（市级）"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饮用水供水单位卫生许可（延续）</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"http://www.sczwfw.gov.cn/jiq/front/transition/ywTransToDetail?areaCode=510900000000&amp;itemCode=511A23026005-510900000000-000-11510800326994017N-1-00&amp;taskType=1&amp;deptCode=008490438" \o "饮用水供水单位卫生许可延续（市级）"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"http://www.sczwfw.gov.cn/jiq/front/transition/ywTransToDetail?areaCode=510900000000&amp;itemCode=511A23026002-510900000000-000-11510800326994017N-1-00&amp;taskType=1&amp;deptCode=008490438" \o "饮用水供水单位卫生许可证遗失补办（市级）"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饮用水供水单位卫生许可证遗失补办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"http://www.sczwfw.gov.cn/jiq/front/transition/ywTransToDetail?areaCode=510900000000&amp;itemCode=511A23026004-510900000000-000-11510800326994017N-1-00&amp;taskType=1&amp;deptCode=008490438" \o "饮用水供水单位卫生许可证注销（市级）"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饮用水供水单位卫生许可证（注销）</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公共场所卫生许可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1.公共场所卫生许可（新办）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"http://www.sczwfw.gov.cn/jiq/front/transition/ywTransToDetail?areaCode=510900000000&amp;itemCode=511A23005002-510900000000-000-11510800326994017N-1-00&amp;taskType=1&amp;deptCode=008490438" \o "公共场所卫生许可变更（市级）"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"http://www.sczwfw.gov.cn/jiq/front/transition/ywTransToDetail?areaCode=510900000000&amp;itemCode=511A23005001-510900000000-000-11510800326994017N-1-00&amp;taskType=1&amp;deptCode=008490438" \o "公共场所卫生许可延续（市级）"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（延续）</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"http://www.sczwfw.gov.cn/jiq/front/transition/ywTransToDetail?areaCode=510900000000&amp;itemCode=511A23005004-510900000000-000-11510800326994017N-1-00&amp;taskType=1&amp;deptCode=008490438" \o "公共场所卫生许可遗失补办（市级）"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"http://www.sczwfw.gov.cn/jiq/front/transition/ywTransToDetail?areaCode=510900000000&amp;itemCode=511A23005005-510900000000-000-11510800326994017N-1-00&amp;taskType=1&amp;deptCode=008490438" \o "公共场所卫生许可证注销（市级）"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（注销）</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放射源诊疗技术和医用辐射机构许可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1.放射源诊疗技术和医用辐射机构许可（新办）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"http://www.sczwfw.gov.cn/jiq/front/transition/ywTransToDetail?areaCode=510900000000&amp;itemCode=511A2301800022-510900000000-000-11510800326994017N-1-00&amp;taskType=1&amp;deptCode=008490438" \o "放射源诊疗技术和医用辐射机构变更（承诺件）（市级）"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放射源诊疗技术和医用辐射机构</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"http://www.sczwfw.gov.cn/jiq/front/transition/ywTransToDetail?areaCode=510900000000&amp;itemCode=511A2301800007-510900000000-000-11510800326994017N-1-00&amp;taskType=1&amp;deptCode=008490438" \o "放射源诊疗技术和医用辐射机构许可校验（市级）"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放射源诊疗技术和医用辐射机构许可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(校验)</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"http://www.sczwfw.gov.cn/jiq/front/transition/ywTransToDetail?areaCode=510900000000&amp;itemCode=511A2301800005-510900000000-000-11510800326994017N-1-00&amp;taskType=1&amp;deptCode=008490438" \o "放射诊疗许可证遗失补办（市级）"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放射诊疗许可证遗失补办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"http://www.sczwfw.gov.cn/jiq/front/transition/ywTransToDetail?areaCode=510900000000&amp;itemCode=511A2301800009-510900000000-000-11510800326994017N-1-00&amp;taskType=1&amp;deptCode=008490438" \o "放射诊疗设备、放射诊疗项目、放射诊疗许可证注销（市级）"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放射诊疗设备、放射诊疗项目、放射诊疗许可证注销</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医疗机构建设项目放射性职业病危害 预评价报告审核</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医疗机构建设项目放射性职业病危害 预评价报告审核</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医疗机构建设项目放射性职业病防护 设施竣工验收</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医疗机构建设项目放射性职业病防护 设施竣工验收</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38</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中医药管理科（科长：贺艳阳）</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中医医疗机构开展</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中医医疗机构开展</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流程图22</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对在中医药事业、产业、文化发展中做出突出贡献的单位和个人的奖励</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对在中医药事业、产业、文化发展中做出突出贡献的单位和个人的奖励</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43</w:t>
            </w:r>
          </w:p>
        </w:tc>
        <w:tc>
          <w:tcPr>
            <w:tcW w:w="115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财务科（科长：向爱民）</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救护车配置使用认定</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救护车配置使用认定</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向爱民</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法定办结时限：无具体规定</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44</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办公室</w:t>
            </w:r>
            <w:r>
              <w:rPr>
                <w:rFonts w:hint="default" w:asciiTheme="majorEastAsia" w:hAnsiTheme="majorEastAsia" w:eastAsiaTheme="majorEastAsia" w:cstheme="majorEastAsia"/>
                <w:b w:val="0"/>
                <w:bCs/>
                <w:color w:val="000000" w:themeColor="text1"/>
                <w:sz w:val="24"/>
                <w:szCs w:val="24"/>
                <w:lang w:val="en" w:eastAsia="zh-CN"/>
                <w14:textFill>
                  <w14:solidFill>
                    <w14:schemeClr w14:val="tx1"/>
                  </w14:solidFill>
                </w14:textFill>
              </w:rPr>
              <w:t>（信访科）</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（主任：郑栋才）</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default"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信访申请</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default"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信访申请</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郑栋才</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法定办结时限：60日（一般信访事项），医疗纠纷、违法行为举报等按照相关法律法规时限。承诺办结时限：60日（一般信访事项），医疗纠纷、违法行为举报等按照相关法律法规时限。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申请政府信息公开</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申请政府信息公开</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郑栋才</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7" w:name="OLE_LINK7"/>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承诺办结时限：15个工作日</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p>
            <w:pPr>
              <w:keepNext w:val="0"/>
              <w:keepLines w:val="0"/>
              <w:widowControl/>
              <w:suppressLineNumbers w:val="0"/>
              <w:jc w:val="center"/>
              <w:textAlignment w:val="center"/>
            </w:pP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疾病预防控制科（艾滋病防治科） （副科长：唐秋菊）</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从业人员健康检查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从业人员健康检查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法定办结时限：7个工作日</w:t>
            </w:r>
          </w:p>
          <w:p>
            <w:pPr>
              <w:pStyle w:val="4"/>
              <w:rPr>
                <w:rFonts w:hint="default"/>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《预防接种证》办理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《预防接种证》办理</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组织调查、处理因预防接种导致受种者死亡、严重残疾，或者群体性疑似预防接种异常反应等对社会有重大影响的疑似预防接种异常反应</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组织调查、处理因预防接种导致受种者死亡、严重残疾，或者群体性疑似预防接种异常反应等对社会有重大影响的疑似预防接种异常反应</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对在艾滋病防治工作中作出显著成绩和贡献的单位和个人的表彰和奖励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对在艾滋病防治工作中作出显著成绩和贡献的单位和个人的表彰和奖励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对在学校卫生工作中成绩显著的单位或者个人的表彰、奖励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对在学校卫生工作中成绩显著的单位或者个人的表彰、奖励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对在传染病防治工作中做出显著成绩和贡献的单位和个人的表彰和奖励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对在传染病防治工作中做出显著成绩和贡献的单位和个人的表彰和奖励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对在预防控制狂犬病工作中做出显著成绩或有突出贡献的单位、个人的表彰或奖励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对在预防控制狂犬病工作中做出显著成绩或有突出贡献的单位、个人的表彰或奖励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对在血吸虫病防治工作中做出显著成绩的单位和个人的表彰或者奖励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对在血吸虫病防治工作中做出显著成绩的单位和个人的表彰或者奖励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对医疗卫生机构和医疗废物集中处置单位的疾病防治工作以及工作人员的卫生防护等情况进行监督检查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对医疗卫生机构和医疗废物集中处置单位的疾病防治工作以及工作人员的卫生防护等情况进行监督检查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对免疫规划制度的实施、预防接种活动进行监督检查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对免疫规划制度的实施、预防接种活动进行监督检查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对传染病防治工作的监督检查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对传染病防治工作的监督检查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57</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封存可能被艾滋病病毒污染的物品</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封存可能被艾滋病病毒污染的物品</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58</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封闭被传染病病原体污染的公共饮用水源、封存传染病病原体污染的食品以及相关物品或者暂停销售</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封闭被传染病病原体污染的公共饮用水源、封存传染病病原体污染的食品以及相关物品或者暂停销售</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59</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高致病</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性病</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原微生物菌（毒）种或者样本在运输、储存中被盗、被抢、丢失、泄漏而采取必要的控制措施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高致病</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性病</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原微生物菌（毒）种或者样本在运输、储存中被盗、被抢、丢失、泄漏而采取必要的控制措施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60</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在突发事件中需要接受隔离治疗、医学观察措施的病人、疑似病人和传染病病人密切接触者而采取</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医学隔离强制措施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在突发事件中需要接受隔离治疗、医学观察措施的病人、疑似病人和传染病病人密切接触者而采取</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医学隔离强制措施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61</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对拒绝隔离、治疗、留验的检疫传染病病人、病原携带者、疑似检疫传染病病人和与其密切接触者以及拒绝检查和卫生处理的可能传播检疫传染病的交通工具、停靠场所及物资而采取的强制措施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对拒绝隔离、治疗、留验的检疫传染病病人、病原携带者、疑似检疫传染病病人和与其密切接触者以及拒绝检查和卫生处理的可能传播检疫传染病的交通工具、停靠场所及物资而采取的强制措施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62</w:t>
            </w:r>
          </w:p>
        </w:tc>
        <w:tc>
          <w:tcPr>
            <w:tcW w:w="115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人口老龄监测与健康科（副科长：林宏）</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学校、幼儿园、婴幼儿照护服务等机构及其教职员工违反《中华人民共和国未成年人保护法》第二十七条、第二十八条、第三十九条规定的，按照职责分工责令改正。拒不改正或者情节严重的，对直接负责的主管人员和其他直接责任人员依法给予处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学校、幼儿园、婴幼儿照护服务等机构及其教职员工违反《中华人民共和国未成年人保护法》第二十七条、第二十八条、第三十九条规定的，按照职责分工责令改正。拒不改正或者情节严重的，对直接负责的主管人员和其他直接责任人员依法给予处分</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冉莉英</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63</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医政药政管理科（科长：刘刚）</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医院评审</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医院评审</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行政审批类（行政确认）</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8" w:name="OLE_LINK13"/>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8"/>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9" w:name="OLE_LINK12"/>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流程图22</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限制类医疗技术临床应用备案管理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0" w:name="OLE_LINK15"/>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1" w:name="OLE_LINK14"/>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对海外留学回国服务人员医师资格的认定</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对海外留学回国服务人员医师资格的认定</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其他类（其他行政权利）</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法定办结时限：无具体规定</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承诺办结时限：18个工作日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对护士的表彰奖励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对护士的表彰奖励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对医师的表彰奖励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对医师的表彰奖励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对在精神卫生工作中作出突出贡献的组织、个人的表彰、奖励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对在精神卫生工作中作出突出贡献的组织、个人的表彰、奖励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对医疗机构、医务人员、医疗服务的行政检查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对医疗机构、医务人员、医疗服务的行政检查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对医疗卫生机构履行精神障碍预防义务的情况进行检查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对医疗卫生机构履行精神障碍预防义务的情况进行检查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74</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查封、扣押管理存在安全隐患的麻醉</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查封、扣押管理存在安全隐患的麻醉</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75</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查封或者暂扣涉嫌违反《医疗废物管理条例》的规定的场所、设备、运输工具和物品</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查封或者暂扣涉嫌违反《医疗废物管理条例》的规定的场所、设备、运输工具和物品</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76</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人事科教科（科长：杨苗）</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病原微生物一级、二级生物安全实验室备案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病原微生物一级、二级生物安全实验室备案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杨苗</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对病原微</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生物</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安全实验室和菌毒种保藏机构进行监督检查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对病原微</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生物</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安全实验室和菌毒种保藏机构进行监督检查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杨苗</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78</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基层妇幼科（科长：陈海军）</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《出生医学证明》首次签发</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《出生医学证明》首次签发</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w:t>
            </w:r>
            <w:bookmarkStart w:id="12" w:name="OLE_LINK9"/>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2个工作日</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四川省妇幼保健机构等级评审</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四川省妇幼保健机构等级评审</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行政审批类（行政确认）</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3" w:name="OLE_LINK8"/>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流程图18</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对在母婴保健工作中做出显著成绩和在母婴保健科学研究中取得显著成果的组织和个人的奖励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对在母婴保健工作中做出显著成绩和在母婴保健科学研究中取得显著成果的组织和个人的奖励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对农村预防、保健、医疗服务和突发事件应急处理工作中做出突出成绩的乡村医生的奖励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对农村预防、保健、医疗服务和突发事件应急处理工作中做出突出成绩的乡村医生的奖励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对母婴保健法及实施办法、四川省母婴保健法实施办法的执行情况进行监督检查（包括对机构和人员的监督检查）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对母婴保健法及实施办法、四川省母婴保健法实施办法的执行情况进行监督检查（包括对机构和人员的监督检查）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4" w:name="OLE_LINK10"/>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对开展新生儿疾病筛查工作的医疗机构进行监督检查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对开展新生儿疾病筛查工作的医疗机构进行监督检查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84</w:t>
            </w:r>
          </w:p>
        </w:tc>
        <w:tc>
          <w:tcPr>
            <w:tcW w:w="115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爱国卫生与健康促进科（科长：刘龙元）</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对在爱国卫生工作中取得显著成绩的组织和个人的表彰、奖励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对在爱国卫生工作中取得显著成绩的组织和个人的表彰、奖励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刘龙元</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85</w:t>
            </w:r>
          </w:p>
        </w:tc>
        <w:tc>
          <w:tcPr>
            <w:tcW w:w="115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医疗应急科（</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副科长：何源</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对发生危害健康事故的公共场所，可以依法采取封闭场所、封存相关物品等临时控制措施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对发生危害健康事故的公共场所，可以依法采取封闭场所、封存相关物品等临时控制措施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对参加突发事件应急处理的作出贡献的医疗卫生单位人员给予表彰和奖励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对参加突发事件应急处理的作出贡献的医疗卫生单位人员给予表彰和奖励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对献血及献血工作的单位和个人的表彰奖励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对献血及献血工作的单位和个人的表彰奖励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对采供血机构的行政检查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对采供血机构的行政检查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89</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根据突发事件应急处理的需要对食物和水源采取控制措施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根据突发事件应急处理的需要对食物和水源采取控制措施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何</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90</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综合监督与职业健康科（科长：曾青乐）</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对防治职业病成绩显著的单位和个人给予奖励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对防治职业病成绩显著的单位和个人给予奖励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对本行政区域内开展放射诊疗活动的医疗机构进行监督检查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对本行政区域内开展放射诊疗活动的医疗机构进行监督检查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对有关机构（医疗卫生机构、托幼机构、衣物出租和洗涤机构、殡仪馆火葬场等）场所和物品的消毒工作进行监督检查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对有关机构（医疗卫生机构、托幼机构、衣物出租和洗涤机构、殡仪馆火葬场等）场所和物品的消毒工作进行监督检查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对职业病诊断机构、职业病鉴定办事机构、职业健康检查机构、放射卫生技术服务机构的执行法律法规、标准的情况进行监督检查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对职业病诊断机构、职业病鉴定办事机构、职业健康检查机构、放射卫生技术服务机构的执行法律法规、标准的情况进行监督检查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对职业病防治工作进行监督检查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对职业病防治工作进行监督检查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95</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采取责令暂停导致职业病危害事故的作业，封存造成职业病危害事故或者可能导致职业病危害事故发生的材料和设备，组织控制职业病危害事故现场等临时控制措施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采取责令暂停导致职业病危害事故的作业，封存造成职业病危害事故或者可能导致职业病危害事故发生的材料和设备，组织控制职业病危害事故现场等临时控制措施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放射工作人员证办理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放射工作人员证办理</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职业病鉴定</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职业病鉴定</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 27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食品安全企业标准备案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食品安全企业标准备案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流程图28</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消毒产品卫生安全评价报告备案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消毒产品卫生安全评价报告备案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承诺办结时限：4个工作日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对使用假药、劣药且情节严重的机构的持有医疗卫生人员执业证书的法定代表人、主要负责人、直接负责的主管人员和其他责任人员的行政处罚</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对使用假药、劣药且情节严重的机构的持有医疗卫生人员执业证书的法定代表人、主要负责人、直接负责的主管人员和其他责任人员的行政处罚</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对疾病预防控制机构、接种单位违反疫苗储存、运输管理规范有关冷链储存、运输要求的行政处罚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对疾病预防控制机构、接种单位违反疫苗储存、运输管理规范有关冷链储存、运输要求的行政处罚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对疾病预防控制机构、接种单位有《中华人民共和国疫苗管理法》第八十五条规定以外的违反疫苗储存、运输管理规范行为的行政处罚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对疾病预防控制机构、接种单位有《中华人民共和国疫苗管理法》第八十五条规定以外的违反疫苗储存、运输管理规范行为的行政处罚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对疾病预防控制机构、接种单位未按照规定供应、接收、采购疫苗。接种疫苗未遵守预防接种工作规范、免疫程序、疫苗使用指导原则、接种方案。擅自进行群体性预防接种的行政处罚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对疾病预防控制机构、接种单位未按照规定供应、接收、采购疫苗。接种疫苗未遵守预防接种工作规范、免疫程序、疫苗使用指导原则、接种方案。擅自进行群体性预防接种的行政处罚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对疾病预防控制机构、接种单位、医疗机构未按照规定报告疑似预防接种异常反应、疫苗安全事件等，或者未按照规定对疑似预防接种异常反应组织调查、诊断等的行政处罚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对疾病预防控制机构、接种单位、医疗机构未按照规定报告疑似预防接种异常反应、疫苗安全事件等，或者未按照规定对疑似预防接种异常反应组织调查、诊断等的行政处罚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以上地方人民政府卫生健康主管部门指定擅自从事免疫规划疫苗接种工作、从事非免疫规划疫苗接种工作不符合条件或者未备案的。违反《中华人民共和国疫苗管理法》规定，疾病预防控制机构、接种单位以外的单位或者个人擅自进行群体性预防接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以上地方人民政府卫生健康主管部门指定擅自从事免疫规划疫苗接种工作、从事非免疫规划疫苗接种工作不符合条件或者未备案的。违反《中华人民共和国疫苗管理法》规定，疾病预防控制机构、接种单位以外的单位或者个人擅自进行群体性预防接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对违反规定伪造、变造、买卖、出租、出借医疗机构执业许可证的行政处罚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对违反规定伪造、变造、买卖、出租、出借医疗机构执业许可证的行政处罚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对医疗卫生机构等的医疗信息安全制度、保障措施不健全，导致医疗信息泄露，或者医疗质量管理和医疗技术管理制度、安全措施不健全的行政处罚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对医疗卫生机构等的医疗信息安全制度、保障措施不健全，导致医疗信息泄露，或者医疗质量管理和医疗技术管理制度、安全措施不健全的行政处罚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对从事职业卫生技术服务的机构和承担职业病诊断的医疗卫生机构超出资质认可或者诊疗项目登记范围从事职业卫生技术服务或者职业病诊断的。不按照规定履行法定职责的。出具虚假证明文件的行政处罚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对从事职业卫生技术服务的机构和承担职业病诊断的医疗卫生机构超出资质认可或者诊疗项目登记范围从事职业卫生技术服务或者职业病诊断的。不按照规定履行法定职责的。出具虚假证明文件的行政处罚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对医疗机构未取得放射诊疗许可从事放射诊疗工作，未办理放射诊疗科目登记或者未按照规定进行校验，未经批准擅自变更放射诊疗项目或者超出批准范围从事放射诊疗工作的行政处罚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对医疗机构未取得放射诊疗许可从事放射诊疗工作，未办理放射诊疗科目登记或者未按照规定进行校验，未经批准擅自变更放射诊疗项目或者超出批准范围从事放射诊疗工作的行政处罚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对医疗机构使用不具备相应资质的人员从事放射诊疗工作的行政处罚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对医疗机构使用不具备相应资质的人员从事放射诊疗工作的行政处罚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对未取得医疗机构执业许可证擅自执业的行政处罚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对未取得医疗机构执业许可证擅自执业的行政处罚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对不按期办理校验《医疗机构执业许可证》又不停止诊疗活动的且在卫生行政部门责令其限期补办校验手续后拒不校验的行政处罚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对不按期办理校验《医疗机构执业许可证》又不停止诊疗活动的且在卫生行政部门责令其限期补办校验手续后拒不校验的行政处罚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非卫生技术人员从事医疗卫生技术工作，安排卫生技术人员超过执业范围从事医疗卫生技术工作，安排未取得医师资格证书的医学生、试用期医学毕业生、实习人员独立为患者提供临床诊疗服务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非卫生技术人员从事医疗卫生技术工作，安排卫生技术人员超过执业范围从事医疗卫生技术工作，安排未取得医师资格证书的医学生、试用期医学毕业生、实习人员独立为患者提供临床诊疗服务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对医疗机构的诊疗活动超出登记或者备案范围的行政处罚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对医疗机构的诊疗活动超出登记或者备案范围的行政处罚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对未取得母婴保健技术许可的医疗保健机构或人员从事婚前医学检查、遗传病诊断、产前诊断、终止妊娠手术、医学技术鉴定，或者出具《中华人民共和国母婴保健法》规定的有关医学证明的行政处罚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对未取得母婴保健技术许可的医疗保健机构或人员从事婚前医学检查、遗传病诊断、产前诊断、终止妊娠手术、医学技术鉴定，或者出具《中华人民共和国母婴保健法》规定的有关医学证明的行政处罚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对从事母婴保健技术服务的人员出具虚假医学证明文件延误诊治，造成严重后果。给当事人身心健康造成严重后果。造成其他严重后果的行政处罚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对从事母婴保健技术服务的人员出具虚假医学证明文件延误诊治，造成严重后果。给当事人身心健康造成严重后果。造成其他严重后果的行政处罚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对违反有关规定进行胎儿性别鉴定的医疗保健机构或人员擅自进行胎儿性别鉴定的行政处罚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对违反有关规定进行胎儿性别鉴定的医疗保健机构或人员擅自进行胎儿性别鉴定的行政处罚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对未经批准擅自开展人类辅助生殖技术的非医疗机构和医疗机构的行政处罚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对未经批准擅自开展人类辅助生殖技术的非医疗机构和医疗机构的行政处罚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对未经批准擅自设置人类</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库，采集、提供</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的非医疗机构、医疗机构的行政处罚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对未经批准擅自设置人类</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库，采集、提供</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的非医疗机构、医疗机构的行政处罚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对非法采集血液的；血站、医疗机构出售无偿献血的血液的；医疗机构使用非法定采供血机构提供的血液的；非法组织他人出卖血液的行政处罚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对非法采集血液的；血站、医疗机构出售无偿献血的血液的；医疗机构使用非法定采供血机构提供的血液的；非法组织他人出卖血液的行政处罚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对临床用血的包装、储存、运输不符合国家规定的卫生标准和要求的行政处罚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对临床用血的包装、储存、运输不符合国家规定的卫生标准和要求的行政处罚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对单采血浆站已知其采集的血浆检测结果呈阳性，仍向血液制品生产单位供应的行政处罚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对单采血浆站已知其采集的血浆检测结果呈阳性，仍向血液制品生产单位供应的行政处罚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129</w:t>
            </w:r>
          </w:p>
        </w:tc>
        <w:tc>
          <w:tcPr>
            <w:tcW w:w="115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130</w:t>
            </w:r>
          </w:p>
        </w:tc>
        <w:tc>
          <w:tcPr>
            <w:tcW w:w="1155" w:type="dxa"/>
            <w:vMerge w:val="restart"/>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对承担尸检任务的医疗机构或其他有关机构没有正当理由，拒绝进行尸检的。涂改、伪造、隐匿、销毁病历资料的行政处罚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对承担尸检任务的医疗机构或其他有关机构没有正当理由，拒绝进行尸检的。涂改、伪造、隐匿、销毁病历资料的行政处罚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对医疗机构、医务人员发生医疗事故的行政处罚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对医疗机构、医务人员发生医疗事故的行政处罚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对邀请、聘用未经过注册取得《外国医师短期行医许可证》的外国医师来华短期行医或为未经过注册取得《外国医师短期行医许可证》的外国医师来华短期行医提供场所的单位的行政处罚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对邀请、聘用未经过注册取得《外国医师短期行医许可证》的外国医师来华短期行医或为未经过注册取得《外国医师短期行医许可证》的外国医师来华短期行医提供场所的单位的行政处罚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对参加医疗事故技术鉴定工作的人员接受申请鉴定双方或者一方当事人的财物或者其他利益，出具虚假医疗事故技术鉴定书的行政处罚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对参加医疗事故技术鉴定工作的人员接受申请鉴定双方或者一方当事人的财物或者其他利益，出具虚假医疗事故技术鉴定书的行政处罚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对医疗机构从无《药品生产许可证》《药品经营许可证》的企业购进药品，情节严重的行政处罚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对医疗机构从无《药品生产许可证》《药品经营许可证》的企业购进药品，情节严重的行政处罚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对具有</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处方资格的执业医师，违反规定开具或者未按照临床应用指导原则的要求使用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。执业医师未按照临床应用指导原则的要求使用第二类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或者未使用专用处方开具第二类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对具有</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处方资格的执业医师，违反规定开具或者未按照临床应用指导原则的要求使用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。执业医师未按照临床应用指导原则的要求使用第二类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或者未使用专用处方开具第二类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处方资格的执业医师擅自开具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处方。处方的调配人、核对人违反规定未对</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处方进行核对的行政处罚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处方资格的执业医师擅自开具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处方。处方的调配人、核对人违反规定未对</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处方进行核对的行政处罚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对发生</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被盗、被抢、丢失案件的单位，违反规定未采取必要的控制措施或者未依照规定报告的行政处罚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对发生</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被盗、被抢、丢失案件的单位，违反规定未采取必要的控制措施或者未依照规定报告的行政处罚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val="en-US"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对中外各方未经批准，成立中外合资、合作医疗机构并开展医疗活动或以合同方式经营诊疗项目的行政处罚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对中外各方未经批准，成立中外合资、合作医疗机构并开展医疗活动或以合同方式经营诊疗项目的行政处罚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对医疗机构使用未取得处方权的人员、被取消处方权的医师开具处方的。使用未取得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处方资格的医师开具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处方的。使用未取得药学专业技术职务任职资格的人员从事处方调剂工作的行政处罚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对医疗机构使用未取得处方权的人员、被取消处方权的医师开具处方的。使用未取得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处方资格的医师开具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处方的。使用未取得药学专业技术职务任职资格的人员从事处方调剂工作的行政处罚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对医疗机构未使用有本医疗机构标识的病历、处方、检查报告单和票据，或将其出卖或出借的。使用其他医疗机构的票据、病历、处方、检查报告单的行政处罚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对医疗机构未使用有本医疗机构标识的病历、处方、检查报告单和票据，或将其出卖或出借的。使用其他医疗机构的票据、病历、处方、检查报告单的行政处罚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对医疗机构滥用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品、剧毒药品、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对医疗机构滥用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品、剧毒药品、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对医疗机构管理混乱，有严重事故隐患，直接影响医疗安全且限期不改的行政处罚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对医疗机构管理混乱，有严重事故隐患，直接影响医疗安全且限期不改的行政处罚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对医疗、保健机构或者人员未取得母婴保健技术许可，擅自从事婚前医学检查、遗传病诊断、产前诊断、终止妊娠手术和医学技术鉴定或者出具有关医学证明的行政处罚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对医疗、保健机构或者人员未取得母婴保健技术许可，擅自从事婚前医学检查、遗传病诊断、产前诊断、终止妊娠手术和医学技术鉴定或者出具有关医学证明的行政处罚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对雇佣他人顶替本单位职工献血、雇佣他人顶替本人献血的行政处罚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对雇佣他人顶替本单位职工献血、雇佣他人顶替本人献血的行政处罚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对伪造、转让、租借、涂改献血证件的行政处罚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对伪造、转让、租借、涂改献血证件的行政处罚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对经依法批准从事高致病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原微生物相关实验活动的实验室的设立单位未建立健全安全保卫制度，或者未采取安全保卫措施，导致高致病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原微生物菌（毒）种、样本被盗、被抢或者造成其他严重后果的行政处罚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对经依法批准从事高致病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原微生物相关实验活动的实验室的设立单位未建立健全安全保卫制度，或者未采取安全保卫措施，导致高致病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原微生物菌（毒）种、样本被盗、被抢或者造成其他严重后果的行政处罚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对实验室在相关实验活动结束后，未依照规定及时将病原微生物菌（毒）种和样本就地销毁或者送交保藏机构保管的。使用新技术、新方法从事高致病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未经国家病原微生物实验室生物安全专家委员会论证的。实验室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原微生物的相关实验活动的行政处罚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对实验室在相关实验活动结束后，未依照规定及时将病原微生物菌（毒）种和样本就地销毁或者送交保藏机构保管的。使用新技术、新方法从事高致病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未经国家病原微生物实验室生物安全专家委员会论证的。实验室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原微生物的相关实验活动的行政处罚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对实验室工作人员出现该实验室从事的病原微生物相关实验活动有关的感染临床症状或者体征以及实验室发生高致病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原微生物泄漏时，实验室负责人、实验室工作人员、负责实验室感染控制的专门机构或者人员未依照规定报告，或者未依照规定采取控制措施的行政处罚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对实验室工作人员出现该实验室从事的病原微生物相关实验活动有关的感染临床症状或者体征以及实验室发生高致病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原微生物泄漏时，实验室负责人、实验室工作人员、负责实验室感染控制的专门机构或者人员未依照规定报告，或者未依照规定采取控制措施的行政处罚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对拒绝接受卫生主管部门、兽医主管部门依法开展有关高致病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原微生物扩散的调查取证、采集样品等活动或者未按规定采取有关预防、控制措施的行政处罚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对拒绝接受卫生主管部门、兽医主管部门依法开展有关高致病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原微生物扩散的调查取证、采集样品等活动或者未按规定采取有关预防、控制措施的行政处罚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对医疗卫生机构将未达到国家规定标准的污水、传染病病人或者疑似传染病病人的排泄物排入城市排水管网，造成传染病传播的行政处罚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对医疗卫生机构将未达到国家规定标准的污水、传染病病人或者疑似传染病病人的排泄物排入城市排水管网，造成传染病传播的行政处罚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对医疗卫生机构发生医疗废物流失、泄漏、扩散时，未采取紧急处理措施，或者未及时向卫生行政主管部门报告的行政处罚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对医疗卫生机构发生医疗废物流失、泄漏、扩散时，未采取紧急处理措施，或者未及时向卫生行政主管部门报告的行政处罚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对医疗卫生机构无正当理由，阻碍卫生行政主管部门或者环境保护行政主管部门执法人员执行职务，拒绝执法人员进入现场，或者不配合执法部门的检查、监测、调查取证的行政处罚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对医疗卫生机构无正当理由，阻碍卫生行政主管部门或者环境保护行政主管部门执法人员执行职务，拒绝执法人员进入现场，或者不配合执法部门的检查、监测、调查取证的行政处罚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对采供血机构未按照规定报告传染病疫情，或者隐瞒、谎报、缓报传染病疫情，或者未执行国家有关规定，导致因输入血液引起经血液传播疾病发生的行政处罚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对采供血机构未按照规定报告传染病疫情，或者隐瞒、谎报、缓报传染病疫情，或者未执行国家有关规定，导致因输入血液引起经血液传播疾病发生的行政处罚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对采集或者使用未进行艾滋病检测或者艾滋病检测阳性的人体组织、器官、细胞、骨髓等的行政处罚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对采集或者使用未进行艾滋病检测或者艾滋病检测阳性的人体组织、器官、细胞、骨髓等的行政处罚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对提供、使用未经出入境检验检疫机构检疫的进口人体血液、血浆、组织、器官、细胞、骨髓等的行政处罚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对提供、使用未经出入境检验检疫机构检疫的进口人体血液、血浆、组织、器官、细胞、骨髓等的行政处罚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对非法为他人施行计划生育手术的。利用超声技术和其他技术手段为他人进行非医学需要的胎儿性别鉴定或者选择性别的人工终止妊娠的行政处罚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对非法为他人施行计划生育手术的。利用超声技术和其他技术手段为他人进行非医学需要的胎儿性别鉴定或者选择性别的人工终止妊娠的行政处罚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对托育机构违反托育服务相关标准和规范的行政处罚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对托育机构违反托育服务相关标准和规范的行政处罚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工作场所职业病危害因素检测、评价结果没有存档、上报、公布。未采取《中华人民共和国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工作场所职业病危害因素检测、评价结果没有存档、上报、公布。未采取《中华人民共和国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中华人民共和国职业病防治法》规定在劳动者离开用人单位时提供职业健康监护档案复印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中华人民共和国职业病防治法》规定在劳动者离开用人单位时提供职业健康监护档案复印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对用人单位、医疗卫生机构、职业健康检查机构、职业病诊断机构未按照规定报告职业病、疑似职业病的或弄虚作假的行政处罚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对用人单位、医疗卫生机构、职业健康检查机构、职业病诊断机构未按照规定报告职业病、疑似职业病的或弄虚作假的行政处罚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隐瞒技术、工艺、设备、材料所产生的职业病危害而采用的。隐瞒本单位职业卫生真实情况的。可能发生急性职业损伤的有毒、有害工作场所、放射工作场所或者放射性同位素的运输、贮存不符合《中华人民共和国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隐瞒技术、工艺、设备、材料所产生的职业病危害而采用的。隐瞒本单位职业卫生真实情况的。可能发生急性职业损伤的有毒、有害工作场所、放射工作场所或者放射性同位素的运输、贮存不符合《中华人民共和国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对未给从事放射工作的人员办理《放射工作人员证》的行政处罚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对未给从事放射工作的人员办理《放射工作人员证》的行政处罚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原微生物菌（毒）种或者样本，或者承运单位经批准运输高致病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原微生物菌（毒）种或者样本未履行保护义务，导致高致病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原微生物菌（毒）种或者样本被盗、被抢、丢失、泄漏的行政处罚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原微生物菌（毒）种或者样本，或者承运单位经批准运输高致病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原微生物菌（毒）种或者样本未履行保护义务，导致高致病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原微生物菌（毒）种或者样本被盗、被抢、丢失、泄漏的行政处罚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对药师未按照规定调剂处方药品的行政处罚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对药师未按照规定调剂处方药品的行政处罚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对买卖人体器官或者从事与买卖人体器官有关活动的行政处罚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对买卖人体器官或者从事与买卖人体器官有关活动的行政处罚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对从事人体器官移植的医务人员参与尸体器官捐献人的死亡判定的行政处罚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对从事人体器官移植的医务人员参与尸体器官捐献人的死亡判定的行政处罚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对医疗机构违反《医疗机构临床用血管理办法》关于应急用血采血规定的行政处罚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对医疗机构违反《医疗机构临床用血管理办法》关于应急用血采血规定的行政处罚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对药师未按照规定审核、调剂抗菌药物处方，情节严重的。未按照规定私自增加抗菌药物品种或者品规的。违反《抗菌药物临床应用管理办法》其他规定的行政处罚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对药师未按照规定审核、调剂抗菌药物处方，情节严重的。未按照规定私自增加抗菌药物品种或者品规的。违反《抗菌药物临床应用管理办法》其他规定的行政处罚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对不符合《中华人民共和国精神卫生法》规定条件的医疗机构擅自从事精神障碍诊断、治疗的行政处罚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对不符合《中华人民共和国精神卫生法》规定条件的医疗机构擅自从事精神障碍诊断、治疗的行政处罚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违反《中华人民共和国精神卫生法》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违反《中华人民共和国精神卫生法》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w:t>
            </w:r>
            <w:bookmarkStart w:id="15" w:name="_GoBack"/>
            <w:bookmarkEnd w:id="15"/>
            <w:r>
              <w:rPr>
                <w:rFonts w:hint="eastAsia" w:asciiTheme="majorEastAsia" w:hAnsiTheme="majorEastAsia" w:eastAsiaTheme="majorEastAsia" w:cstheme="majorEastAsia"/>
                <w:b w:val="0"/>
                <w:bCs/>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对承担单采血浆站技术评价、检测的技术机构出具虚假证明文件的行政处罚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对承担单采血浆站技术评价、检测的技术机构出具虚假证明文件的行政处罚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指定主检医师或者指定的主检医师未取得职业病诊断资格的；未按要求建立职业健康检查档案的；未履行职业健康检查信息报告义务的；未按照相关职业健康监护技术规范规定开展工作的；违反《职业健康检查管理办法》其他有关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指定主检医师或者指定的主检医师未取得职业病诊断资格的；未按要求建立职业健康检查档案的；未履行职业健康检查信息报告义务的；未按照相关职业健康监护技术规范规定开展工作的；违反《职业健康检查管理办法》其他有关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对经批准实施人工终止妊娠手术的机构未建立真实完整的终止妊娠药品购进记录，或者未按照规定为终止妊娠药品使用者建立完整用药档案的行政处罚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对经批准实施人工终止妊娠手术的机构未建立真实完整的终止妊娠药品购进记录，或者未按照规定为终止妊娠药品使用者建立完整用药档案的行政处罚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对介绍、组织孕妇实施非医学需要的胎儿性别鉴定或者选择性别人工终止妊娠的行政处罚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对介绍、组织孕妇实施非医学需要的胎儿性别鉴定或者选择性别人工终止妊娠的行政处罚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对餐具、饮具集中消毒服务单位拒绝、阻挠、干涉卫生计生行政部门及其工作人员依法开展监督检查的行政处罚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对餐具、饮具集中消毒服务单位拒绝、阻挠、干涉卫生计生行政部门及其工作人员依法开展监督检查的行政处罚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对餐具、饮具集中消毒服务单位违反规定用水，使用洗涤剂、消毒剂，或者出厂的餐具、饮具未按规定检验合格并随附消毒合格证明，或者未按规定在独立包装上标注相关内容的行政处罚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对餐具、饮具集中消毒服务单位违反规定用水，使用洗涤剂、消毒剂，或者出厂的餐具、饮具未按规定检验合格并随附消毒合格证明，或者未按规定在独立包装上标注相关内容的行政处罚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对供学生使用的文具、娱乐器具、保健用品，不符合国家有关卫生标准的行政处罚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对供学生使用的文具、娱乐器具、保健用品，不符合国家有关卫生标准的行政处罚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对拒绝或者妨碍学校卫生监督员实施卫生监督的行政处罚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对拒绝或者妨碍学校卫生监督员实施卫生监督的行政处罚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对集中式供水单位安排未取得体检合格证的人员从事直接供、管水工作或安排患有有碍饮用水卫生疾病的或病原携带者从事直接供、管水工作的行政处罚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对集中式供水单位安排未取得体检合格证的人员从事直接供、管水工作或安排患有有碍饮用水卫生疾病的或病原携带者从事直接供、管水工作的行政处罚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对生产或者销售无卫生许可批准文件的涉及饮用水卫生安全的产品的行政处罚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对生产或者销售无卫生许可批准文件的涉及饮用水卫生安全的产品的行政处罚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对未依法取得公共场所卫生许可证擅自营业的行政处罚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对未依法取得公共场所卫生许可证擅自营业的行政处罚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对未按照规定对公共场所的空气、微小气候、水质、采光、照明、噪声、顾客用品用具等进行卫生检测的。未按照规定对顾客用品用具进行清洗、消毒、保洁，或者重复使用一次性用品用具的行政处罚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对未按照规定对公共场所的空气、微小气候、水质、采光、照明、噪声、顾客用品用具等进行卫生检测的。未按照规定对顾客用品用具进行清洗、消毒、保洁，或者重复使用一次性用品用具的行政处罚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对公共场所经营者安排未获得有效健康合格证明的从业人员从事直接为顾客服务工作的行政处罚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对公共场所经营者安排未获得有效健康合格证明的从业人员从事直接为顾客服务工作的行政处罚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对公共场所经营者对发生的危害健康事故未立即采取处置措施，导致危害扩大，或者隐瞒、缓报、谎报的行政处罚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对公共场所经营者对发生的危害健康事故未立即采取处置措施，导致危害扩大，或者隐瞒、缓报、谎报的行政处罚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对公共场所未配备专（兼）职卫生管理人员的。未建立从业人员卫生管理制度和档案的。从业人员未取得健康合格证而从事直接为顾客服务工作的。从业人员未经卫生知识培训合格上岗的行政处罚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对公共场所未配备专（兼）职卫生管理人员的。未建立从业人员卫生管理制度和档案的。从业人员未取得健康合格证而从事直接为顾客服务工作的。从业人员未经卫生知识培训合格上岗的行政处罚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对集中空调通风系统卫生指标不符合国家卫生标准或规范的。集中空调通风系统未按规定设置卫生设施的。集中空调通风系统未按规定定期检查、清洗和维护的行政处罚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对集中空调通风系统卫生指标不符合国家卫生标准或规范的。集中空调通风系统未按规定设置卫生设施的。集中空调通风系统未按规定定期检查、清洗和维护的行政处罚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对除体育场（馆）、公共交通工具外的甲类场所未取得公共场所卫生许可证从事经营活动的。除体育场（馆）、公共交通工具外的甲类场所涂改、倒卖、转让公共场所卫生许可证的行政处罚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对除体育场（馆）、公共交通工具外的甲类场所未取得公共场所卫生许可证从事经营活动的。除体育场（馆）、公共交通工具外的甲类场所涂改、倒卖、转让公共场所卫生许可证的行政处罚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对医疗机构公共场所违反规定未设置吸烟区（室）的。禁止吸烟场所未按规定设置禁烟标识或违反规定设置吸烟器具的。个人在禁止吸烟场所吸烟的行政处罚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对医疗机构公共场所违反规定未设置吸烟区（室）的。禁止吸烟场所未按规定设置禁烟标识或违反规定设置吸烟器具的。个人在禁止吸烟场所吸烟的行政处罚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对未经批准擅自开展产前诊断技术的非医疗保健机构的行政处罚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对未经批准擅自开展产前诊断技术的非医疗保健机构的行政处罚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对未制定、实施本机构护士在职培训计划或者未保证护士接受培训的。未依照《护士条例》规定履行护士管理职责的行政处罚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对未制定、实施本机构护士在职培训计划或者未保证护士接受培训的。未依照《护士条例》规定履行护士管理职责的行政处罚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对在国家确认的自然疫源地兴建水利、交通、旅游、能源等大型建设项目，未经卫生调查进行施工的，或者未按照疾病预防控制机构的意见采取必要的传染病预防、控制措施的行政处罚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对在国家确认的自然疫源地兴建水利、交通、旅游、能源等大型建设项目，未经卫生调查进行施工的，或者未按照疾病预防控制机构的意见采取必要的传染病预防、控制措施的行政处罚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对单位和个人非法经营、出售用于预防传染病菌苗、疫苗等生物制品的行政处罚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对单位和个人非法经营、出售用于预防传染病菌苗、疫苗等生物制品的行政处罚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对加工、出售、运输被传染病病原体污染或者来自疫区可能被传染病病原体污染的皮毛，未按国家有关规定进行消毒处理的行政处罚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对加工、出售、运输被传染病病原体污染或者来自疫区可能被传染病病原体污染的皮毛，未按国家有关规定进行消毒处理的行政处罚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命名、标签（含说明书）不符合国家卫计委的有关规定的；消毒产品的标签（含说明书）和宣传内容不真实，出现或暗示对疾病的治疗效果的；生产经营无生产企业卫生许可证或新消毒产品卫生许可批准文件的；产品卫生安全评价不合格或产品卫生质量不符合要求的消毒产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命名、标签（含说明书）不符合国家卫计委的有关规定的；消毒产品的标签（含说明书）和宣传内容不真实，出现或暗示对疾病的治疗效果的；生产经营无生产企业卫生许可证或新消毒产品卫生许可批准文件的；产品卫生安全评价不合格或产品卫生质量不符合要求的消毒产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对消毒服务机构消毒后的物品未达到卫生标准和要求的行政处罚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对消毒服务机构消毒后的物品未达到卫生标准和要求的行政处罚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违反《血吸虫病防治条例》规定，未依照规定对因生产、工作必须接触疫水的人员采取防护措施，或者未定期组织进行血吸虫病的专项体检的；对政府有关部门采取的预防、控制措施不予配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违反《血吸虫病防治条例》规定，未依照规定对因生产、工作必须接触疫水的人员采取防护措施，或者未定期组织进行血吸虫病的专项体检的；对政府有关部门采取的预防、控制措施不予配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依照规定履行突发公共卫生事件报告职责，隐瞒、缓报或者谎报的；未依照规定及时采取突发公共卫生事件控制措施的；未依照规定履行突发事件监测职责的；拒绝接诊病人的；拒不服从突发事件应急处理指挥部调度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依照规定履行突发公共卫生事件报告职责，隐瞒、缓报或者谎报的；未依照规定及时采取突发公共卫生事件控制措施的；未依照规定履行突发事件监测职责的；拒绝接诊病人的；拒不服从突发事件应急处理指挥部调度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对执行职务的医疗卫生人员瞒报、缓报、谎报传染病疫情的行政处罚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对执行职务的医疗卫生人员瞒报、缓报、谎报传染病疫情的行政处罚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对个体或私营医疗保健机构瞒报、缓报、谎报传染病疫情或突发性公共卫生事件的行政处罚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对个体或私营医疗保健机构瞒报、缓报、谎报传染病疫情或突发性公共卫生事件的行政处罚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对未取得《消毒产品生产企业卫生许可证》生产消毒产品的；擅自变更企业名称、法人代表、生产类别、迁移厂址、另设生产与消毒产品有关分厂（车间）的，未进行变更登记或重新申请办证的行政处罚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对未取得《消毒产品生产企业卫生许可证》生产消毒产品的；擅自变更企业名称、法人代表、生产类别、迁移厂址、另设生产与消毒产品有关分厂（车间）的，未进行变更登记或重新申请办证的行政处罚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对消毒产品的标签、说明书和宣传内容不真实，不符合其产品质量要求；消毒产品生产企业伪造、擅自修改产品配方的行政处罚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对消毒产品的标签、说明书和宣传内容不真实，不符合其产品质量要求；消毒产品生产企业伪造、擅自修改产品配方的行政处罚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对出租、出借、转让和涂改《消毒产品生产企业卫生许可证》的行政处罚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对出租、出借、转让和涂改《消毒产品生产企业卫生许可证》的行政处罚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对非医疗机构或非医师开展医疗气功活动的行政处罚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对非医疗机构或非医师开展医疗气功活动的行政处罚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对使用非医疗气功人员开展医疗气功活动的行政处罚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对使用非医疗气功人员开展医疗气功活动的行政处罚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对医疗机构未经批准擅自开展医疗气功活动的行政处罚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对医疗机构未经批准擅自开展医疗气功活动的行政处罚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对医疗气功人员在医疗气功活动中违反医学常规或医疗气功基本操作规范，造成严重后果的行政处罚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对医疗气功人员在医疗气功活动中违反医学常规或医疗气功基本操作规范，造成严重后果的行政处罚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对取得印鉴卡的医疗机构未依照规定购买、储存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的。未依照规定保存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专用处方，或者未依照规定进行处方专册登记的。未依照规定报告</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的进货、库存、使用数量的。紧急借用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后未备案的。未依照规定销毁</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对取得印鉴卡的医疗机构未依照规定购买、储存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的。未依照规定保存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专用处方，或者未依照规定进行处方专册登记的。未依照规定报告</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的进货、库存、使用数量的。紧急借用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后未备案的。未依照规定销毁</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对提供虚假材料、隐瞒有关情况，或者采取其他欺骗手段取得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的使用资格的行政处罚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对提供虚假材料、隐瞒有关情况，或者采取其他欺骗手段取得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的使用资格的行政处罚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对道路运输经营者、水路运输经营者对在车船上发现的检疫传染病病人、疑似检疫传染病病人，未按有关规定采取相应措施的行政处罚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对道路运输经营者、水路运输经营者对在车船上发现的检疫传染病病人、疑似检疫传染病病人，未按有关规定采取相应措施的行政处罚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对检疫传染病病人、病原携带者、疑似检疫传染病病人和与其密切接触者隐瞒真实情况、逃避交通卫生检疫的，或拒绝接受查验和卫生处理的行政处罚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对检疫传染病病人、病原携带者、疑似检疫传染病病人和与其密切接触者隐瞒真实情况、逃避交通卫生检疫的，或拒绝接受查验和卫生处理的行政处罚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对未建立职业病诊断管理制度的。对不按照规定向劳动者公开职业病诊断程序的。对泄露劳动者涉及个人隐私的有关信息、资料的。对其他违反《职业病诊断与鉴定管理办法》的行为的行政处罚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对未建立职业病诊断管理制度的。对不按照规定向劳动者公开职业病诊断程序的。对泄露劳动者涉及个人隐私的有关信息、资料的。对其他违反《职业病诊断与鉴定管理办法》的行为的行政处罚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对医疗机构的负责人、药品采购人员、医师等有关人员索取、收受药品生产企业、药品经营企业或者其代理人给予的财物或者通过开具抗菌药物牟取不正当利益的行政处罚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对医疗机构的负责人、药品采购人员、医师等有关人员索取、收受药品生产企业、药品经营企业或者其代理人给予的财物或者通过开具抗菌药物牟取不正当利益的行政处罚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对未经县级卫生行政部门核准，村卫生室、诊所、社区卫生服务站擅自使用抗菌药物开展静脉输注活动的行政处罚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对未经县级卫生行政部门核准，村卫生室、诊所、社区卫生服务站擅自使用抗菌药物开展静脉输注活动的行政处罚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对医疗机构使用未经卫生行政部门指定的血站供应的血液的行政处罚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对医疗机构使用未经卫生行政部门指定的血站供应的血液的行政处罚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对水质净化、消毒设施设备缺失或者未正常运转的。供水设施及其周围环境不清洁、出现有碍水质卫生的浮游生物、植物、污物的。供水管道与非饮用水管网直接连接的。未按规定开展水质检测的行政处罚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对水质净化、消毒设施设备缺失或者未正常运转的。供水设施及其周围环境不清洁、出现有碍水质卫生的浮游生物、植物、污物的。供水管道与非饮用水管网直接连接的。未按规定开展水质检测的行政处罚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对医疗保健机构未取得产前诊断执业许可或超越许可范围，擅自从事产前诊断的行政处罚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对医疗保健机构未取得产前诊断执业许可或超越许可范围，擅自从事产前诊断的行政处罚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对未取得产前诊断类母婴保健技术考核合格证书的个人，擅自从事产前诊断或超越许可范围的行政处罚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对未取得产前诊断类母婴保健技术考核合格证书的个人，擅自从事产前诊断或超越许可范围的行政处罚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对医师未取得处方权或者被取消处方权后开具药品处方的。医师未按照《处方管理办法》规定开具药品处方的。医师违反《处方管理办法》其他规定的行政处罚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对医师未取得处方权或者被取消处方权后开具药品处方的。医师未按照《处方管理办法》规定开具药品处方的。医师违反《处方管理办法》其他规定的行政处罚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对医疗机构未办理人体器官移植诊疗科目登记，擅自从事人体器官移植的行政处罚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对医疗机构未办理人体器官移植诊疗科目登记，擅自从事人体器官移植的行政处罚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对医务人员泄露人体器官捐献人、接受人或者申请人体器官移植手术患者个人资料的行政处罚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对医务人员泄露人体器官捐献人、接受人或者申请人体器官移植手术患者个人资料的行政处罚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对医疗机构未经省、自治区、直辖市人民政府卫生行政部门指定擅自开展新生儿遗传代谢病筛查实验室检测的行政处罚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对医疗机构未经省、自治区、直辖市人民政府卫生行政部门指定擅自开展新生儿遗传代谢病筛查实验室检测的行政处罚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对经考核取得医师资格的中医医师超出注册的执业范围从事医疗活动的行政处罚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对经考核取得医师资格的中医医师超出注册的执业范围从事医疗活动的行政处罚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对举办中医诊所应当备案而未备案，或者备案时提供虚假材料的行政处罚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对举办中医诊所应当备案而未备案，或者备案时提供虚假材料的行政处罚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对中医诊所超出备案范围开展医疗活动的行政处罚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对中医诊所超出备案范围开展医疗活动的行政处罚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对未经卫生行政部门许可新建、改建、扩建校舍的行政处罚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对未经卫生行政部门许可新建、改建、扩建校舍的行政处罚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对未经许可擅自配置使用大型医用设备的行政处罚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对未经许可擅自配置使用大型医用设备的行政处罚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对医疗器械使用单位违规使用大型医用设备，不能保障医疗质量安全的行政处罚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对医疗器械使用单位违规使用大型医用设备，不能保障医疗质量安全的行政处罚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对医疗机构违反《中华人民共和国广告法》规定发布医疗广告情节严重的行政处罚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对医疗机构违反《中华人民共和国广告法》规定发布医疗广告情节严重的行政处罚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对医疗机构聘用未经大陆短期行医执业注册的台湾医师从事诊疗活动的行政处罚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对医疗机构聘用未经大陆短期行医执业注册的台湾医师从事诊疗活动的行政处罚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对台湾医师未取得《台湾医师短期行医执业证书》行医或者未按照注册的有效期从事诊疗活动的行政处罚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对台湾医师未取得《台湾医师短期行医执业证书》行医或者未按照注册的有效期从事诊疗活动的行政处罚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对台湾医师未按照注册的执业地点、执业类别、执业范围从事诊疗活动的行政处罚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对台湾医师未按照注册的执业地点、执业类别、执业范围从事诊疗活动的行政处罚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对从事母婴保健工作的人员和其他人员违反规定，出具有关虚假医学证明的行政处罚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对从事母婴保健工作的人员和其他人员违反规定，出具有关虚假医学证明的行政处罚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对违反《四川省婚前医学检查管理办法》擅自增加婚前医学检查项目的。故意出具虚假的婚前医学检查证明的。泄漏接受婚前医学检查的男女双方隐私的行政处罚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对违反《四川省婚前医学检查管理办法》擅自增加婚前医学检查项目的。故意出具虚假的婚前医学检查证明的。泄漏接受婚前医学检查的男女双方隐私的行政处罚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对在自然疫源地和可能是自然疫源地的地区兴建大型建设项目未经卫生调查即进行施工的行政处罚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对在自然疫源地和可能是自然疫源地的地区兴建大型建设项目未经卫生调查即进行施工的行政处罚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对向用人单位提供可能产生职业病危害的设备、材料，未按照规定提供中文说明书或者设置警示标识和中文警示说明的行政处罚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对向用人单位提供可能产生职业病危害的设备、材料，未按照规定提供中文说明书或者设置警示标识和中文警示说明的行政处罚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对生产、经营或者进口国家明令禁止使用的可能产生职业病危害的设备或者材料的行政处罚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对生产、经营或者进口国家明令禁止使用的可能产生职业病危害的设备或者材料的行政处罚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对用人单位违反《中华人民共和国职业病防治法》规定，已经对劳动者生命健康造成严重损害的行政处罚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对用人单位违反《中华人民共和国职业病防治法》规定，已经对劳动者生命健康造成严重损害的行政处罚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对未取得职业卫生技术服务资质认可擅自从事职业卫生技术服务的行政处罚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对未取得职业卫生技术服务资质认可擅自从事职业卫生技术服务的行政处罚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按照规定设置警示标识和中文警示说明的；未对职业卫生防护设备、应急救援设施、通讯报警装置进行维护、检修和定期检测，导致上述设施处于不正常状态的；未依照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按照规定设置警示标识和中文警示说明的；未对职业卫生防护设备、应急救援设施、通讯报警装置进行维护、检修和定期检测，导致上述设施处于不正常状态的；未依照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使用高毒物品作业的用人单位作业场所职业中毒危害因素不符合国家职业卫生标准和卫生要求而不立即停止高毒作业并采取相应的治理措施的，或者职业中毒危害因素治理不符合国家职业卫生标准和卫生要求重新作业的；未依照《使用有毒物品作业场所劳动保护条例》的规定维护、检修存在高毒物品的生产装置的；未采取《使用有毒物品作业场所劳动保护条例》规定的措施，安排劳动者进入存在高毒物品的设备、容器或者狭窄封闭场所作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使用高毒物品作业的用人单位作业场所职业中毒危害因素不符合国家职业卫生标准和卫生要求而不立即停止高毒作业并采取相应的治理措施的，或者职业中毒危害因素治理不符合国家职业卫生标准和卫生要求重新作业的；未依照《使用有毒物品作业场所劳动保护条例》的规定维护、检修存在高毒物品的生产装置的；未采取《使用有毒物品作业场所劳动保护条例》规定的措施，安排劳动者进入存在高毒物品的设备、容器或者狭窄封闭场所作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对在作业场所使用国家明令禁止使用的有毒物品或者使用不符合国家标准的有毒物品的行政处罚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对在作业场所使用国家明令禁止使用的有毒物品或者使用不符合国家标准的有毒物品的行政处罚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对在转产、停产、停业或者解散、破产时未采取有效措施，妥善处理留存或者残留高毒物品的设备、包装物和容器的行政处罚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对在转产、停产、停业或者解散、破产时未采取有效措施，妥善处理留存或者残留高毒物品的设备、包装物和容器的行政处罚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val="en-US"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对用人单位未按照规定申报高毒作业项目的；变更使用高毒物品品种，未按照规定向原受理申报的卫生行政部门重新申报，或者申报不及时、有虚假的行政处罚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对用人单位未按照规定申报高毒作业项目的；变更使用高毒物品品种，未按照规定向原受理申报的卫生行政部门重新申报，或者申报不及时、有虚假的行政处罚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300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照职业病防治法和本条例的规定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照职业病防治法和本条例的规定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配备或者聘请职业卫生医师和护士的；未为从事使用高毒物品作业的劳动者设置淋浴间、更衣室或者未设置清洗、存放和处理工作服、工作鞋帽等物品的专用间，或者不能正常使用的；未安排从事使用高毒物品作业一定年限的劳动者进行岗位轮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配备或者聘请职业卫生医师和护士的；未为从事使用高毒物品作业的劳动者设置淋浴间、更衣室或者未设置清洗、存放和处理工作服、工作鞋帽等物品的专用间，或者不能正常使用的；未安排从事使用高毒物品作业一定年限的劳动者进行岗位轮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对高低温作业、粉尘及有毒有害气体作业、放射性作业等可能造成职业危害的场所未采用有效的职业病防治技术、工艺、原材料，并为从业人员配备符合规定的个人防护用品的行政处罚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对高低温作业、粉尘及有毒有害气体作业、放射性作业等可能造成职业危害的场所未采用有效的职业病防治技术、工艺、原材料，并为从业人员配备符合规定的个人防护用品的行政处罚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对用人单位未按照规定实行有害作业与无害作业分开、工作场所与生活场所分开的；用人单位的主要负责人、职业卫生管理人员未接受职业卫生培训的；其他违反《工作场所职业卫生管理规定》的行为的行政处罚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对用人单位未按照规定实行有害作业与无害作业分开、工作场所与生活场所分开的；用人单位的主要负责人、职业卫生管理人员未接受职业卫生培训的；其他违反《工作场所职业卫生管理规定》的行为的行政处罚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制定职业病防治计划和实施方案的；未按照规定设置或者指定职业卫生管理机构或者组织，或者未配备专职或者兼职的职业卫生管理人员的；未按照规定建立、健全职业卫生管理制度和操作规程的；未按照规定建立、健全职业卫生档案和劳动者健康监护档案的；未建立、健全工作场所职业病危害因素监测及评价制度的；未按照规定公布有关职业病防治的规章制度、操作规程、职业病危害事故应急救援措施的；未按照规定组织劳动者进行职业卫生培训，或者未对劳动者个体防护采取有效的指导、督促措施的；工作场所职业病危害因素检测、评价结果未按照规定存档、上报和公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制定职业病防治计划和实施方案的；未按照规定设置或者指定职业卫生管理机构或者组织，或者未配备专职或者兼职的职业卫生管理人员的；未按照规定建立、健全职业卫生管理制度和操作规程的；未按照规定建立、健全职业卫生档案和劳动者健康监护档案的；未建立、健全工作场所职业病危害因素监测及评价制度的；未按照规定公布有关职业病防治的规章制度、操作规程、职业病危害事故应急救援措施的；未按照规定组织劳动者进行职业卫生培训，或者未对劳动者个体防护采取有效的指导、督促措施的；工作场所职业病危害因素检测、评价结果未按照规定存档、上报和公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对可能发生急性职业损伤的有毒、有害工作场所、放射工作场所或者放射性同位素的运输、贮存不符合《中华人民共和国职业病防治法》的行政处罚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对可能发生急性职业损伤的有毒、有害工作场所、放射工作场所或者放射性同位素的运输、贮存不符合《中华人民共和国职业病防治法》的行政处罚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对用人单位有关事项发生重大变化，未按照《职业病危害项目申报办法》的规定申报变更职业病危害项目内容的行政处罚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对用人单位有关事项发生重大变化，未按照《职业病危害项目申报办法》的规定申报变更职业病危害项目内容的行政处罚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对职业病危害预评价报告、职业病防护设施设计、职业病危害控制效果评价报告进行评审或者组织职业病防护设施验收的；对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审，或者未重新进行职业病防护设施设计和评审的；需要试运行的职业病防护设施未与主体工程同时试运行的；建设单位未按照《建设项目职业病防护设施“三同时”监督管理办法》公布有关信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对职业病危害预评价报告、职业病防护设施设计、职业病危害控制效果评价报告进行评审或者组织职业病防护设施验收的；对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审，或者未重新进行职业病防护设施设计和评审的；需要试运行的职业病防护设施未与主体工程同时试运行的；建设单位未按照《建设项目职业病防护设施“三同时”监督管理办法》公布有关信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对建设单位在职业病危害预评价报告、职业病防护设施设计、职业病危害控制效果评价报告评审以及职业病防护设施验收中弄虚作假的行政处罚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对建设单位在职业病危害预评价报告、职业病防护设施设计、职业病危害控制效果评价报告评审以及职业病防护设施验收中弄虚作假的行政处罚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对提供虚假资料或者采取其他欺骗手段取得大型医用设备配置许可证等许可证件的行政处罚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对提供虚假资料或者采取其他欺骗手段取得大型医用设备配置许可证等许可证件的行政处罚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对医疗机构篡改、伪造、隐匿、毁灭病历资料的行政处罚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对医疗机构篡改、伪造、隐匿、毁灭病历资料的行政处罚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对医疗机构将未通过技术评估和伦理审查的医疗新技术应用于临床的行政处罚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对医疗机构将未通过技术评估和伦理审查的医疗新技术应用于临床的行政处罚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对医学会出具虚假医疗损害鉴定意见的行政处罚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对医学会出具虚假医疗损害鉴定意见的行政处罚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对尸检机构出具虚假尸检报告的行政处罚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对尸检机构出具虚假尸检报告的行政处罚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对医疗机构开展相关医疗技术与登记的诊疗科目不相符的。开展禁止类技术临床应用的。不符合医疗技术临床应用管理规范要求擅自开展相关医疗技术的行政处罚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对医疗机构开展相关医疗技术与登记的诊疗科目不相符的。开展禁止类技术临床应用的。不符合医疗技术临床应用管理规范要求擅自开展相关医疗技术的行政处罚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对医疗机构管理混乱导致医疗技术临床应用造成严重不良后果，并产生重大社会影响的行政处罚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对医疗机构管理混乱导致医疗技术临床应用造成严重不良后果，并产生重大社会影响的行政处罚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对医疗卫生机构未按照规定备案开展职业病诊断的行政处罚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对医疗卫生机构未按照规定备案开展职业病诊断的行政处罚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建立并执行医疗器械进货查验记录制度的；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建立并执行医疗器械进货查验记录制度的；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对医疗机构、专业机构或者其工作人员瞒报、谎报、缓报、漏报，授意他人瞒报、谎报、缓报，或者阻碍他人报告传染病、动植物疫病或者不明原因的聚集性疾病的行政处罚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对医疗机构、专业机构或者其工作人员瞒报、谎报、缓报、漏报，授意他人瞒报、谎报、缓报，或者阻碍他人报告传染病、动植物疫病或者不明原因的聚集性疾病的行政处罚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对从事国家禁止的生物技术研究、开发与应用活动的行政处罚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对从事国家禁止的生物技术研究、开发与应用活动的行政处罚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对从事生物技术研究、开发活动未遵守国家生物技术研究开发安全管理规范的行政处罚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对从事生物技术研究、开发活动未遵守国家生物技术研究开发安全管理规范的行政处罚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对违反《中华人民共和国生物安全法》规定，从事病原微生物实验活动未在相应等级的实验室进行，或者高等级病原微生物实验室未经批准从事高致病性、疑似高致病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对违反《中华人民共和国生物安全法》规定，从事病原微生物实验活动未在相应等级的实验室进行，或者高等级病原微生物实验室未经批准从事高致病性、疑似高致病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对用人单位违反女职工禁忌从事的劳动范围的规定的行政处罚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对用人单位违反女职工禁忌从事的劳动范围的规定的行政处罚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对在学校、幼儿园和其他未成年人集中活动的公共场所吸烟、饮酒。场所管理者未及时制止的行政处罚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对在学校、幼儿园和其他未成年人集中活动的公共场所吸烟、饮酒。场所管理者未及时制止的行政处罚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对三级、四级实验室未经批准从事某种高致病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原微生物或者疑似高致病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对三级、四级实验室未经批准从事某种高致病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原微生物或者疑似高致病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对在不符合相应生物安全要求的实验室从事病原微生物相关实验活动的行政处罚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对在不符合相应生物安全要求的实验室从事病原微生物相关实验活动的行政处罚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对伪造、变造、买卖、出租、出借医师执业证书的行政处罚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对伪造、变造、买卖、出租、出借医师执业证书的行政处罚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品、医疗用毒性药品、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、放射性药品等；利用职务之便，索要、非法收受财物或者牟取其他不正当利益，或者违反诊疗规范，对患者实施不必要的检查、治疗造成不良后果；开展禁止类医疗技术临床应用的行政处罚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品、医疗用毒性药品、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、放射性药品等；利用职务之便，索要、非法收受财物或者牟取其他不正当利益，或者违反诊疗规范，对患者实施不必要的检查、治疗造成不良后果；开展禁止类医疗技术临床应用的行政处罚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对医师未按照注册的执业地点、执业类别、执业范围执业的行政处罚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对医师未按照注册的执业地点、执业类别、执业范围执业的行政处罚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对非医师行医的行政处罚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对非医师行医的行政处罚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对违反《中华人民共和国医师法》规定，医疗卫生机构未履行报告职责，造成严重后果的行政处罚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对违反《中华人民共和国医师法》规定，医疗卫生机构未履行报告职责，造成严重后果的行政处罚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对单位和个人出售、运输被传染病病原体污染和来自疫区可能被传染病病原体污染的皮毛、旧衣物及生活用品的行政处罚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对单位和个人出售、运输被传染病病原体污染和来自疫区可能被传染病病原体污染的皮毛、旧衣物及生活用品的行政处罚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对医疗机构发生医院感染暴发事件未按《医院感染管理办法》规定报告的行政处罚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对医疗机构发生医院感染暴发事件未按《医院感染管理办法》规定报告的行政处罚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对无《医疗机构执业许可证》擅自开展职业健康检查的行政处罚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对无《医疗机构执业许可证》擅自开展职业健康检查的行政处罚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对职业健康检查机构未按规定备案开展职业健康检查的；未按规定告知疑似职业病的；出具虚假证明文件的行政处罚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对职业健康检查机构未按规定备案开展职业健康检查的；未按规定告知疑似职业病的；出具虚假证明文件的行政处罚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对职业健康检查机构未按规定参加实验室比对或者职业健康检查质量考核工作，或者参加质量考核不合格未按要求整改仍开展职业健康检查工作的行政处罚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对职业健康检查机构未按规定参加实验室比对或者职业健康检查质量考核工作，或者参加质量考核不合格未按要求整改仍开展职业健康检查工作的行政处罚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的；违反《院前医疗急救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的；违反《院前医疗急救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对医疗卫生机构违反《放射性同位素与射线装置安全和防护条例》规定，造成辐射事故的行政处罚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对医疗卫生机构违反《放射性同位素与射线装置安全和防护条例》规定，造成辐射事故的行政处罚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对使用放射性同位素和射线装置的医疗卫生机构被责令限期整改，逾期不整改或者经整改仍不符合原发证条件的行政处罚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对使用放射性同位素和射线装置的医疗卫生机构被责令限期整改，逾期不整改或者经整改仍不符合原发证条件的行政处罚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对医疗机构提供</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诊疗服务时违反诊疗规范的行政处罚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对医疗机构提供</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诊疗服务时违反诊疗规范的行政处罚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未依法履行肺结核疫情监测、报告职责，或者隐瞒、谎报、缓报肺结核疫情的；发现肺结核疫情时，未依据职责及时采取措施的；故意泄露涉及肺结核患者、疑似肺结核患者、密切接触者个人隐私的有关信息、资料的；未履行对辖区实验室质量控制、培训等防治职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未依法履行肺结核疫情监测、报告职责，或者隐瞒、谎报、缓报肺结核疫情的；发现肺结核疫情时，未依据职责及时采取措施的；故意泄露涉及肺结核患者、疑似肺结核患者、密切接触者个人隐私的有关信息、资料的；未履行对辖区实验室质量控制、培训等防治职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报告肺结核疫情，或者隐瞒、谎报、缓报肺结核疫情的；非结核病定点医疗机构发现确诊或者疑似肺结核患者，未按照规定进行转诊的；结核病定点医疗机构未按照规定对肺结核患者或者疑似肺结核患者诊断治疗的，或者拒绝接诊的；未按照有关规定严格执行隔离消毒制度，对结核菌污染的痰液、污物和污水未进行卫生处理的；故意泄露涉及肺结核患者、疑似肺结核患者、密切接触者个人隐私的有关信息和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报告肺结核疫情，或者隐瞒、谎报、缓报肺结核疫情的；非结核病定点医疗机构发现确诊或者疑似肺结核患者，未按照规定进行转诊的；结核病定点医疗机构未按照规定对肺结核患者或者疑似肺结核患者诊断治疗的，或者拒绝接诊的；未按照有关规定严格执行隔离消毒制度，对结核菌污染的痰液、污物和污水未进行卫生处理的；故意泄露涉及肺结核患者、疑似肺结核患者、密切接触者个人隐私的有关信息和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对基层医疗卫生机构未履行对辖区内肺结核患者居家治疗期间的督导管理职责的；未按照规定转诊、追踪肺结核患者或者疑似肺结核患者及有可疑症状的密切接触者的行政处罚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对基层医疗卫生机构未履行对辖区内肺结核患者居家治疗期间的督导管理职责的；未按照规定转诊、追踪肺结核患者或者疑似肺结核患者及有可疑症状的密切接触者的行政处罚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对建设单位未按照规定及时、如实报告建设项目职业病防护设施验收方案，或者职业病危害严重建设项目未提交职业病危害控制效果评价与职业病防护设施验收的书面报告的行政处罚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对建设单位未按照规定及时、如实报告建设项目职业病防护设施验收方案，或者职业病危害严重建设项目未提交职业病危害控制效果评价与职业病防护设施验收的书面报告的行政处罚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对诊所未经备案执业的行政处罚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对诊所未经备案执业的行政处罚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投诉管理办法》规定，未制订重大医疗纠纷事件应急处置预案的；投诉管理混乱的；未按规定建立健全医患沟通机制的；未按规定及时处理投诉并反馈患者的；对接待过程中发现的可能激化矛盾，引起治安案件、刑事案件的投诉，未及时向当地公安机关报告的；发布违背或者夸大事实、渲染事件处理过程的信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投诉管理办法》规定，未制订重大医疗纠纷事件应急处置预案的；投诉管理混乱的；未按规定建立健全医患沟通机制的；未按规定及时处理投诉并反馈患者的；对接待过程中发现的可能激化矛盾，引起治安案件、刑事案件的投诉，未及时向当地公安机关报告的；发布违背或者夸大事实、渲染事件处理过程的信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对医疗机构聘用不得从事管理工作的被责令停止执业活动中医诊所的直接负责主管人员工作的行政处罚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对医疗机构聘用不得从事管理工作的被责令停止执业活动中医诊所的直接负责主管人员工作的行政处罚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对未经县级中医药主管部门备案擅自执业的行政处罚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对未经县级中医药主管部门备案擅自执业的行政处罚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对提交虚假备案材料取得《中医诊所备案证》的行政处罚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对提交虚假备案材料取得《中医诊所备案证》的行政处罚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对中医诊所擅自更改设置未经备案或者实际设置与取得的《中医诊所备案证》记载事项不一致，擅自开展诊疗活动的行政处罚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对中医诊所擅自更改设置未经备案或者实际设置与取得的《中医诊所备案证》记载事项不一致，擅自开展诊疗活动的行政处罚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对出卖、转让、出借《中医诊所备案证》的行政处罚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对出卖、转让、出借《中医诊所备案证》的行政处罚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12FB1"/>
    <w:rsid w:val="17D15571"/>
    <w:rsid w:val="4C1A033B"/>
    <w:rsid w:val="52312FB1"/>
    <w:rsid w:val="EB3F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left="200" w:leftChars="200" w:firstLine="420"/>
    </w:pPr>
    <w:rPr>
      <w:rFonts w:ascii="Calibri" w:hAnsi="Calibri" w:eastAsia="宋体"/>
      <w:spacing w:val="0"/>
      <w:sz w:val="21"/>
    </w:rPr>
  </w:style>
  <w:style w:type="paragraph" w:customStyle="1" w:styleId="3">
    <w:name w:val="Body Text Indent1"/>
    <w:basedOn w:val="1"/>
    <w:qFormat/>
    <w:uiPriority w:val="0"/>
    <w:pPr>
      <w:ind w:left="200" w:leftChars="200"/>
    </w:pPr>
    <w:rPr>
      <w:rFonts w:ascii="Calibri" w:hAnsi="Calibri" w:eastAsia="宋体" w:cs="Times New Roman"/>
    </w:r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2025-07-21T10:54:00Z</dcterms:created>
  <dc:creator>Administrator</dc:creator>
  <cp:lastModifiedBy>＾笑颜＾</cp:lastModifiedBy>
  <dcterms:modified xsi:type="dcterms:W3CDTF">2025-08-06T10:54:22Z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