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方正小标宋简体" w:eastAsia="方正小标宋简体"/>
          <w:sz w:val="44"/>
          <w:szCs w:val="44"/>
        </w:rPr>
        <w:t>遂宁市</w:t>
      </w: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hint="eastAsia" w:ascii="Times New Roman" w:hAnsi="方正小标宋简体" w:eastAsia="方正小标宋简体"/>
          <w:sz w:val="44"/>
          <w:szCs w:val="44"/>
        </w:rPr>
        <w:t>十四五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hint="eastAsia" w:ascii="Times New Roman" w:hAnsi="方正小标宋简体" w:eastAsia="方正小标宋简体"/>
          <w:sz w:val="44"/>
          <w:szCs w:val="44"/>
        </w:rPr>
        <w:t>物流业发展规划重点项目表</w:t>
      </w:r>
      <w:bookmarkEnd w:id="0"/>
    </w:p>
    <w:tbl>
      <w:tblPr>
        <w:tblStyle w:val="3"/>
        <w:tblW w:w="13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1"/>
        <w:gridCol w:w="2126"/>
        <w:gridCol w:w="783"/>
        <w:gridCol w:w="5313"/>
        <w:gridCol w:w="1288"/>
        <w:gridCol w:w="1599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建设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性质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建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设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内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所在区域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建设周期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投资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估算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黑体" w:eastAsia="黑体"/>
                <w:bCs/>
                <w:color w:val="000000"/>
                <w:kern w:val="0"/>
                <w:sz w:val="21"/>
                <w:szCs w:val="21"/>
              </w:rPr>
              <w:t>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21"/>
                <w:szCs w:val="21"/>
              </w:rPr>
              <w:t>国家物流枢纽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遂宁陆港型国家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物流枢纽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加快枢纽新增土地开发，集成建设综合信息平台。推进铁路专用线、公铁联运转运场站等基础设施建设，开展大宗物资集散储备设施、工业品仓配设施，以及冷链物流、电商物流、快递物流的区域中转配送设施建设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威斯腾大宗物资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集散分拨中心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建设堆场及站台库、货物站台智能仓库、食用油库总库容、加工厂房、配套用房等。用于商品车及大宗货物的整列或半列装卸，木材、食用油等大宗物资、汽车零配件的装卸、分装、分拨以及集装箱作业。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遂宁高新区西部铁路物流园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遂宁保税物流中心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B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型）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项目总用地面积约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68.3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亩，总建筑面积约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3.29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万平方米，其中保税仓库约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3.02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万平方米，查验区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0.27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万平方米，增设区域卡口、停车场等配套附属设施。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遂宁高新区西部铁路物流园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遂宁高新区川渝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农产品冷链物流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配送中心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占地面积共约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70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亩，各类建筑总建设面积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万平方米，包括蔬菜水果原材料仓库、清洗分级包装车间、蔬菜水果批发市场、农产品电子商务交易平台、农产品检测中心、鲜活农产品储藏库、行政办公服务中心综合楼及生活配套等设施。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遂宁高新区民惠路北侧、问陶路东侧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遂宁高新区智慧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冷链产业园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项目投资总额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亿元人民币，其中一期投资约为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1.2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亿元人民币。总建筑面积约为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11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万平方米；其中一期主要建设冷链仓储物流区、食材加工配送区，建筑面积约为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3.1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万平方米；二期主要建设生鲜冻品交易区、电商产业孵化区、综合配套服务区，建筑面积约为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7.9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遂宁高新区云锦路和凌云路交叉口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（物流枢纽内）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2024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遂宁高新区空港产业园（航空物流园一期）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仓库、转运中心、调配中心、道路、管网、餐饮业、零售业、卫生院、警务室等。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安居区会龙镇香林村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2026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物流园区（中心）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遂宁市智能仓储及城乡配送中心建设项目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项目计划用地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亩，建设智能仓储设施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万平方米及相关辅助工程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万平方米。购置电动汽车、叉车、立体货架及辅助设备等，配套软件设施，实现以“智能仓储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+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物流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+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信息共享平台”的模式营运。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</w:rPr>
              <w:t>船山区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</w:rPr>
              <w:t>仁里镇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老池港海宏物流园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依托遂宁港大沙坝作业区，建设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500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吨（兼顾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1000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吨）级件杂泊位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个、散货泊位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个及出港航道，设计年吞吐能力件杂货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120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万吨，散货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80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万吨。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船山区老池临港区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13.7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遂宁安居经济技术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开发区物流园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占地面积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150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亩，一期建设仓储物流中心仓库、综合调度中心、分拣中心等，占地面积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亩，建筑面积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安居区安东大道东侧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2024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遂宁经开区高铁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新城物流园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项目规划占地面积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200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亩，总建筑面积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万平方米，建设集中式仓储厂区以及相关附属配套设施等。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遂宁经开区新桥镇新西村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遂宁市千仁同城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智能仓储配送中心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续建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扩建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栋仓储基地，建立大型连锁超市配送中心和遂宁电子产业配套仓储配送中心。建设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万平方自有绿色仓库，成为成渝中心高标准的仓储配送基地。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遂宁经开区台商工业园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射洪川中建材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仓储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物流中心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建设建材成品及原材料仓储、加工、中转、分拣、配送中心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射洪市瞿河镇夏家大田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射洪铁路物流园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占地约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1000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亩，新建物流园面积约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50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万平方米，并配套道路、管网、路灯等基础设施。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射洪经开区涪江大道东段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2028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舍得仓储物流园区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占地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140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亩，建设粮食、白酒成品、包装材料仓库和包装车间，改造提升原有仓储物流设施。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射洪市沱牌镇沱牌大道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中农联蓬溪现代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农产品物流园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占地</w:t>
            </w:r>
            <w:r>
              <w:rPr>
                <w:rFonts w:ascii="Times New Roman" w:hAnsi="Times New Roman" w:cs="仿宋"/>
                <w:sz w:val="21"/>
                <w:szCs w:val="21"/>
                <w:lang w:bidi="ar"/>
              </w:rPr>
              <w:t>57</w:t>
            </w: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亩，建设农贸市场、农副产品细化分类交易区、农副产品冷链物流中心、电商支持服务中心、产业配套服务中心等。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蓬溪县锦宁街与普安大道交汇处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sz w:val="21"/>
                <w:szCs w:val="21"/>
                <w:lang w:bidi="ar"/>
              </w:rPr>
              <w:t>2020</w:t>
            </w: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物流园区（中心）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大英粮食物流园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占地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80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亩，新建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万吨保鲜库、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万平方米物流仓库及附属配套设施。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大英县经开区大英县粮食物流园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2021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09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智慧农商产业园项目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新建</w:t>
            </w:r>
          </w:p>
        </w:tc>
        <w:tc>
          <w:tcPr>
            <w:tcW w:w="531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占地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66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亩，新建农电商产业孵化园示范区、特色农产品展示展销区、现代农产品批发市场、冷链仓储物流区四个板块构成。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大英县双桥路客运中心西面、盛奇教育北面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2024</w:t>
            </w:r>
            <w:r>
              <w:rPr>
                <w:rFonts w:hint="eastAsia"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cs="仿宋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ODgzZjk3ZDMxOTk1N2RiY2Y3OTM0ZGU1YzM5YTEifQ=="/>
  </w:docVars>
  <w:rsids>
    <w:rsidRoot w:val="35526A5B"/>
    <w:rsid w:val="3552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2022-07-05T07:15:00Z</dcterms:created>
  <dc:creator>jsh</dc:creator>
  <cp:lastModifiedBy>jsh</cp:lastModifiedBy>
  <dcterms:modified xsi:type="dcterms:W3CDTF">2022-07-05T07:16:33Z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EEF93D45565E48ECB6F4CC9A6BBB634C</vt:lpwstr>
  </property>
</Properties>
</file>