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E96" w:rsidRDefault="007A6E96">
      <w:pPr>
        <w:spacing w:line="200" w:lineRule="exact"/>
        <w:jc w:val="right"/>
        <w:rPr>
          <w:rFonts w:hint="eastAsia"/>
        </w:rPr>
      </w:pPr>
    </w:p>
    <w:p w:rsidR="00767551" w:rsidRDefault="00767551" w:rsidP="00767551">
      <w:pPr>
        <w:spacing w:line="520" w:lineRule="exact"/>
        <w:rPr>
          <w:rFonts w:ascii="黑体" w:eastAsia="黑体" w:hAnsi="黑体" w:hint="eastAsia"/>
        </w:rPr>
      </w:pPr>
      <w:r>
        <w:rPr>
          <w:rFonts w:ascii="黑体" w:eastAsia="黑体" w:hAnsi="黑体" w:hint="eastAsia"/>
        </w:rPr>
        <w:t>附件1</w:t>
      </w:r>
    </w:p>
    <w:p w:rsidR="00767551" w:rsidRPr="007A6E96" w:rsidRDefault="00767551" w:rsidP="007A6E96">
      <w:pPr>
        <w:spacing w:line="520" w:lineRule="exact"/>
        <w:jc w:val="center"/>
        <w:rPr>
          <w:rFonts w:ascii="方正小标宋简体" w:eastAsia="方正小标宋简体" w:hint="eastAsia"/>
          <w:sz w:val="44"/>
          <w:szCs w:val="44"/>
        </w:rPr>
      </w:pPr>
      <w:r w:rsidRPr="007A6E96">
        <w:rPr>
          <w:rFonts w:ascii="方正小标宋简体" w:eastAsia="方正小标宋简体" w:hint="eastAsia"/>
          <w:sz w:val="44"/>
          <w:szCs w:val="44"/>
        </w:rPr>
        <w:t>2017年一季度工业经济发展目标任务分解表</w:t>
      </w:r>
    </w:p>
    <w:p w:rsidR="00767551" w:rsidRDefault="00767551" w:rsidP="00767551">
      <w:pPr>
        <w:spacing w:line="520" w:lineRule="exact"/>
        <w:jc w:val="center"/>
        <w:rPr>
          <w:rFonts w:hint="eastAsia"/>
          <w:sz w:val="44"/>
          <w:szCs w:val="44"/>
        </w:rPr>
      </w:pPr>
    </w:p>
    <w:tbl>
      <w:tblPr>
        <w:tblW w:w="13919" w:type="dxa"/>
        <w:jc w:val="center"/>
        <w:tblInd w:w="288" w:type="dxa"/>
        <w:tblLayout w:type="fixed"/>
        <w:tblLook w:val="0000"/>
      </w:tblPr>
      <w:tblGrid>
        <w:gridCol w:w="2144"/>
        <w:gridCol w:w="1545"/>
        <w:gridCol w:w="2140"/>
        <w:gridCol w:w="2100"/>
        <w:gridCol w:w="2205"/>
        <w:gridCol w:w="2165"/>
        <w:gridCol w:w="1620"/>
      </w:tblGrid>
      <w:tr w:rsidR="00767551" w:rsidTr="007A6E96">
        <w:trPr>
          <w:cantSplit/>
          <w:trHeight w:val="600"/>
          <w:jc w:val="center"/>
        </w:trPr>
        <w:tc>
          <w:tcPr>
            <w:tcW w:w="2144" w:type="dxa"/>
            <w:vMerge w:val="restart"/>
            <w:tcBorders>
              <w:top w:val="single" w:sz="4" w:space="0" w:color="auto"/>
              <w:left w:val="single" w:sz="4" w:space="0" w:color="auto"/>
              <w:right w:val="single" w:sz="4" w:space="0" w:color="auto"/>
              <w:tl2br w:val="single" w:sz="4" w:space="0" w:color="auto"/>
            </w:tcBorders>
            <w:vAlign w:val="center"/>
          </w:tcPr>
          <w:p w:rsidR="00767551" w:rsidRDefault="00767551" w:rsidP="00767551">
            <w:pPr>
              <w:widowControl/>
              <w:spacing w:line="500" w:lineRule="exact"/>
              <w:jc w:val="center"/>
              <w:rPr>
                <w:rFonts w:eastAsia="黑体"/>
                <w:kern w:val="0"/>
                <w:sz w:val="24"/>
              </w:rPr>
            </w:pPr>
            <w:r>
              <w:rPr>
                <w:rFonts w:eastAsia="黑体" w:hint="eastAsia"/>
                <w:kern w:val="0"/>
                <w:sz w:val="24"/>
              </w:rPr>
              <w:t xml:space="preserve">        </w:t>
            </w:r>
            <w:r>
              <w:rPr>
                <w:rFonts w:eastAsia="黑体"/>
                <w:kern w:val="0"/>
                <w:sz w:val="24"/>
              </w:rPr>
              <w:t>项</w:t>
            </w:r>
            <w:r>
              <w:rPr>
                <w:rFonts w:eastAsia="黑体"/>
                <w:kern w:val="0"/>
                <w:sz w:val="24"/>
              </w:rPr>
              <w:t xml:space="preserve"> </w:t>
            </w:r>
            <w:r>
              <w:rPr>
                <w:rFonts w:eastAsia="黑体"/>
                <w:kern w:val="0"/>
                <w:sz w:val="24"/>
              </w:rPr>
              <w:t>目</w:t>
            </w:r>
          </w:p>
          <w:p w:rsidR="00767551" w:rsidRDefault="00767551" w:rsidP="00767551">
            <w:pPr>
              <w:widowControl/>
              <w:spacing w:line="500" w:lineRule="exact"/>
              <w:ind w:firstLineChars="100" w:firstLine="240"/>
              <w:rPr>
                <w:rFonts w:eastAsia="黑体"/>
                <w:kern w:val="0"/>
                <w:sz w:val="24"/>
              </w:rPr>
            </w:pPr>
            <w:r>
              <w:rPr>
                <w:rFonts w:eastAsia="黑体"/>
                <w:kern w:val="0"/>
                <w:sz w:val="24"/>
              </w:rPr>
              <w:t>单</w:t>
            </w:r>
            <w:r>
              <w:rPr>
                <w:rFonts w:eastAsia="黑体"/>
                <w:kern w:val="0"/>
                <w:sz w:val="24"/>
              </w:rPr>
              <w:t xml:space="preserve"> </w:t>
            </w:r>
            <w:r>
              <w:rPr>
                <w:rFonts w:eastAsia="黑体"/>
                <w:kern w:val="0"/>
                <w:sz w:val="24"/>
              </w:rPr>
              <w:t>位</w:t>
            </w:r>
          </w:p>
        </w:tc>
        <w:tc>
          <w:tcPr>
            <w:tcW w:w="1545" w:type="dxa"/>
            <w:vMerge w:val="restart"/>
            <w:tcBorders>
              <w:top w:val="single" w:sz="4" w:space="0" w:color="auto"/>
              <w:left w:val="nil"/>
              <w:right w:val="single" w:sz="4" w:space="0" w:color="auto"/>
            </w:tcBorders>
            <w:vAlign w:val="center"/>
          </w:tcPr>
          <w:p w:rsidR="00767551" w:rsidRDefault="00767551" w:rsidP="00767551">
            <w:pPr>
              <w:spacing w:line="500" w:lineRule="exact"/>
              <w:jc w:val="center"/>
              <w:rPr>
                <w:rFonts w:eastAsia="黑体"/>
                <w:kern w:val="0"/>
                <w:sz w:val="24"/>
              </w:rPr>
            </w:pPr>
            <w:proofErr w:type="gramStart"/>
            <w:r>
              <w:rPr>
                <w:rFonts w:eastAsia="黑体"/>
                <w:kern w:val="0"/>
                <w:sz w:val="24"/>
              </w:rPr>
              <w:t>规</w:t>
            </w:r>
            <w:proofErr w:type="gramEnd"/>
            <w:r>
              <w:rPr>
                <w:rFonts w:eastAsia="黑体"/>
                <w:kern w:val="0"/>
                <w:sz w:val="24"/>
              </w:rPr>
              <w:t>上工业增加值</w:t>
            </w:r>
            <w:r>
              <w:rPr>
                <w:rFonts w:eastAsia="黑体" w:hint="eastAsia"/>
                <w:kern w:val="0"/>
                <w:sz w:val="24"/>
              </w:rPr>
              <w:t>增速</w:t>
            </w:r>
            <w:r>
              <w:rPr>
                <w:rFonts w:eastAsia="黑体"/>
                <w:kern w:val="0"/>
                <w:sz w:val="24"/>
              </w:rPr>
              <w:t>（</w:t>
            </w:r>
            <w:r>
              <w:rPr>
                <w:rFonts w:eastAsia="黑体"/>
                <w:kern w:val="0"/>
                <w:sz w:val="24"/>
              </w:rPr>
              <w:t>%</w:t>
            </w:r>
            <w:r>
              <w:rPr>
                <w:rFonts w:eastAsia="黑体"/>
                <w:kern w:val="0"/>
                <w:sz w:val="24"/>
              </w:rPr>
              <w:t>）</w:t>
            </w:r>
          </w:p>
        </w:tc>
        <w:tc>
          <w:tcPr>
            <w:tcW w:w="4240" w:type="dxa"/>
            <w:gridSpan w:val="2"/>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eastAsia="黑体" w:hint="eastAsia"/>
                <w:kern w:val="0"/>
                <w:sz w:val="24"/>
              </w:rPr>
            </w:pPr>
            <w:r>
              <w:rPr>
                <w:rFonts w:eastAsia="黑体" w:hint="eastAsia"/>
                <w:kern w:val="0"/>
                <w:sz w:val="24"/>
              </w:rPr>
              <w:t>工业投资</w:t>
            </w:r>
          </w:p>
        </w:tc>
        <w:tc>
          <w:tcPr>
            <w:tcW w:w="4370" w:type="dxa"/>
            <w:gridSpan w:val="2"/>
            <w:tcBorders>
              <w:top w:val="single" w:sz="4" w:space="0" w:color="auto"/>
              <w:bottom w:val="single" w:sz="4" w:space="0" w:color="auto"/>
              <w:right w:val="single" w:sz="4" w:space="0" w:color="auto"/>
            </w:tcBorders>
          </w:tcPr>
          <w:p w:rsidR="00767551" w:rsidRDefault="00767551" w:rsidP="00767551">
            <w:pPr>
              <w:spacing w:line="500" w:lineRule="exact"/>
              <w:jc w:val="center"/>
              <w:rPr>
                <w:rFonts w:eastAsia="黑体" w:hint="eastAsia"/>
                <w:kern w:val="0"/>
                <w:sz w:val="24"/>
              </w:rPr>
            </w:pPr>
            <w:r>
              <w:rPr>
                <w:rFonts w:eastAsia="黑体" w:hint="eastAsia"/>
                <w:kern w:val="0"/>
                <w:sz w:val="24"/>
              </w:rPr>
              <w:t>技改投资</w:t>
            </w:r>
          </w:p>
        </w:tc>
        <w:tc>
          <w:tcPr>
            <w:tcW w:w="1620" w:type="dxa"/>
            <w:vMerge w:val="restart"/>
            <w:tcBorders>
              <w:top w:val="single" w:sz="4" w:space="0" w:color="auto"/>
              <w:left w:val="single" w:sz="4" w:space="0" w:color="auto"/>
              <w:right w:val="single" w:sz="4" w:space="0" w:color="auto"/>
            </w:tcBorders>
            <w:vAlign w:val="center"/>
          </w:tcPr>
          <w:p w:rsidR="00767551" w:rsidRDefault="00767551" w:rsidP="00767551">
            <w:pPr>
              <w:widowControl/>
              <w:spacing w:line="500" w:lineRule="exact"/>
              <w:jc w:val="center"/>
              <w:rPr>
                <w:rFonts w:eastAsia="黑体" w:hint="eastAsia"/>
                <w:kern w:val="0"/>
                <w:sz w:val="24"/>
              </w:rPr>
            </w:pPr>
            <w:r>
              <w:rPr>
                <w:rFonts w:eastAsia="黑体" w:hint="eastAsia"/>
                <w:kern w:val="0"/>
                <w:sz w:val="24"/>
              </w:rPr>
              <w:t>备注</w:t>
            </w:r>
          </w:p>
        </w:tc>
      </w:tr>
      <w:tr w:rsidR="00767551" w:rsidTr="007A6E96">
        <w:trPr>
          <w:cantSplit/>
          <w:trHeight w:val="885"/>
          <w:jc w:val="center"/>
        </w:trPr>
        <w:tc>
          <w:tcPr>
            <w:tcW w:w="2144" w:type="dxa"/>
            <w:vMerge/>
            <w:tcBorders>
              <w:left w:val="single" w:sz="4" w:space="0" w:color="auto"/>
              <w:bottom w:val="single" w:sz="4" w:space="0" w:color="auto"/>
              <w:right w:val="single" w:sz="4" w:space="0" w:color="auto"/>
              <w:tl2br w:val="single" w:sz="4" w:space="0" w:color="auto"/>
            </w:tcBorders>
            <w:vAlign w:val="center"/>
          </w:tcPr>
          <w:p w:rsidR="00767551" w:rsidRDefault="00767551" w:rsidP="00767551">
            <w:pPr>
              <w:widowControl/>
              <w:spacing w:line="500" w:lineRule="exact"/>
              <w:jc w:val="center"/>
              <w:rPr>
                <w:rFonts w:eastAsia="黑体" w:hint="eastAsia"/>
                <w:kern w:val="0"/>
                <w:sz w:val="24"/>
              </w:rPr>
            </w:pPr>
          </w:p>
        </w:tc>
        <w:tc>
          <w:tcPr>
            <w:tcW w:w="1545" w:type="dxa"/>
            <w:vMerge/>
            <w:tcBorders>
              <w:left w:val="nil"/>
              <w:right w:val="single" w:sz="4" w:space="0" w:color="auto"/>
            </w:tcBorders>
            <w:vAlign w:val="center"/>
          </w:tcPr>
          <w:p w:rsidR="00767551" w:rsidRDefault="00767551" w:rsidP="00767551">
            <w:pPr>
              <w:spacing w:line="500" w:lineRule="exact"/>
              <w:jc w:val="center"/>
              <w:rPr>
                <w:rFonts w:eastAsia="黑体"/>
                <w:kern w:val="0"/>
                <w:sz w:val="24"/>
              </w:rPr>
            </w:pPr>
          </w:p>
        </w:tc>
        <w:tc>
          <w:tcPr>
            <w:tcW w:w="2140" w:type="dxa"/>
            <w:tcBorders>
              <w:top w:val="single" w:sz="4" w:space="0" w:color="auto"/>
              <w:right w:val="single" w:sz="4" w:space="0" w:color="auto"/>
            </w:tcBorders>
            <w:vAlign w:val="center"/>
          </w:tcPr>
          <w:p w:rsidR="00767551" w:rsidRDefault="00767551" w:rsidP="00767551">
            <w:pPr>
              <w:widowControl/>
              <w:spacing w:line="500" w:lineRule="exact"/>
              <w:jc w:val="center"/>
              <w:rPr>
                <w:rFonts w:eastAsia="黑体" w:hint="eastAsia"/>
                <w:kern w:val="0"/>
                <w:sz w:val="24"/>
              </w:rPr>
            </w:pPr>
            <w:r>
              <w:rPr>
                <w:rFonts w:eastAsia="黑体" w:hint="eastAsia"/>
                <w:kern w:val="0"/>
                <w:sz w:val="24"/>
              </w:rPr>
              <w:t>总额（亿元）</w:t>
            </w:r>
          </w:p>
        </w:tc>
        <w:tc>
          <w:tcPr>
            <w:tcW w:w="2100" w:type="dxa"/>
            <w:tcBorders>
              <w:top w:val="single" w:sz="4" w:space="0" w:color="auto"/>
              <w:left w:val="single" w:sz="4" w:space="0" w:color="auto"/>
              <w:right w:val="single" w:sz="4" w:space="0" w:color="auto"/>
            </w:tcBorders>
            <w:vAlign w:val="center"/>
          </w:tcPr>
          <w:p w:rsidR="00767551" w:rsidRDefault="00767551" w:rsidP="00767551">
            <w:pPr>
              <w:spacing w:line="500" w:lineRule="exact"/>
              <w:jc w:val="center"/>
              <w:rPr>
                <w:rFonts w:eastAsia="黑体" w:hint="eastAsia"/>
                <w:kern w:val="0"/>
                <w:sz w:val="24"/>
              </w:rPr>
            </w:pPr>
            <w:r>
              <w:rPr>
                <w:rFonts w:eastAsia="黑体" w:hint="eastAsia"/>
                <w:kern w:val="0"/>
                <w:sz w:val="24"/>
              </w:rPr>
              <w:t>增速（</w:t>
            </w:r>
            <w:r>
              <w:rPr>
                <w:rFonts w:eastAsia="黑体" w:hint="eastAsia"/>
                <w:kern w:val="0"/>
                <w:sz w:val="24"/>
              </w:rPr>
              <w:t>%</w:t>
            </w:r>
            <w:r>
              <w:rPr>
                <w:rFonts w:eastAsia="黑体" w:hint="eastAsia"/>
                <w:kern w:val="0"/>
                <w:sz w:val="24"/>
              </w:rPr>
              <w:t>）</w:t>
            </w:r>
          </w:p>
        </w:tc>
        <w:tc>
          <w:tcPr>
            <w:tcW w:w="2205" w:type="dxa"/>
            <w:tcBorders>
              <w:top w:val="single" w:sz="4" w:space="0" w:color="auto"/>
              <w:right w:val="single" w:sz="4" w:space="0" w:color="auto"/>
            </w:tcBorders>
            <w:vAlign w:val="center"/>
          </w:tcPr>
          <w:p w:rsidR="00767551" w:rsidRDefault="00767551" w:rsidP="00767551">
            <w:pPr>
              <w:widowControl/>
              <w:spacing w:line="500" w:lineRule="exact"/>
              <w:jc w:val="center"/>
              <w:rPr>
                <w:rFonts w:eastAsia="黑体" w:hint="eastAsia"/>
                <w:kern w:val="0"/>
                <w:sz w:val="24"/>
              </w:rPr>
            </w:pPr>
            <w:r>
              <w:rPr>
                <w:rFonts w:eastAsia="黑体" w:hint="eastAsia"/>
                <w:kern w:val="0"/>
                <w:sz w:val="24"/>
              </w:rPr>
              <w:t>总额（亿元）</w:t>
            </w:r>
          </w:p>
        </w:tc>
        <w:tc>
          <w:tcPr>
            <w:tcW w:w="2165" w:type="dxa"/>
            <w:tcBorders>
              <w:top w:val="single" w:sz="4" w:space="0" w:color="auto"/>
              <w:left w:val="single" w:sz="4" w:space="0" w:color="auto"/>
              <w:right w:val="single" w:sz="4" w:space="0" w:color="auto"/>
            </w:tcBorders>
            <w:vAlign w:val="center"/>
          </w:tcPr>
          <w:p w:rsidR="00767551" w:rsidRDefault="00767551" w:rsidP="00767551">
            <w:pPr>
              <w:spacing w:line="500" w:lineRule="exact"/>
              <w:jc w:val="center"/>
              <w:rPr>
                <w:rFonts w:eastAsia="黑体" w:hint="eastAsia"/>
                <w:kern w:val="0"/>
                <w:sz w:val="24"/>
              </w:rPr>
            </w:pPr>
            <w:r>
              <w:rPr>
                <w:rFonts w:eastAsia="黑体" w:hint="eastAsia"/>
                <w:kern w:val="0"/>
                <w:sz w:val="24"/>
              </w:rPr>
              <w:t>增速（</w:t>
            </w:r>
            <w:r>
              <w:rPr>
                <w:rFonts w:eastAsia="黑体" w:hint="eastAsia"/>
                <w:kern w:val="0"/>
                <w:sz w:val="24"/>
              </w:rPr>
              <w:t>%</w:t>
            </w:r>
            <w:r>
              <w:rPr>
                <w:rFonts w:eastAsia="黑体" w:hint="eastAsia"/>
                <w:kern w:val="0"/>
                <w:sz w:val="24"/>
              </w:rPr>
              <w:t>）</w:t>
            </w:r>
          </w:p>
        </w:tc>
        <w:tc>
          <w:tcPr>
            <w:tcW w:w="1620" w:type="dxa"/>
            <w:vMerge/>
            <w:tcBorders>
              <w:left w:val="single" w:sz="4" w:space="0" w:color="auto"/>
              <w:right w:val="single" w:sz="4" w:space="0" w:color="auto"/>
            </w:tcBorders>
            <w:vAlign w:val="center"/>
          </w:tcPr>
          <w:p w:rsidR="00767551" w:rsidRDefault="00767551" w:rsidP="00767551">
            <w:pPr>
              <w:widowControl/>
              <w:spacing w:line="500" w:lineRule="exact"/>
              <w:jc w:val="center"/>
              <w:rPr>
                <w:rFonts w:eastAsia="黑体" w:hint="eastAsia"/>
                <w:kern w:val="0"/>
                <w:sz w:val="24"/>
              </w:rPr>
            </w:pPr>
          </w:p>
        </w:tc>
      </w:tr>
      <w:tr w:rsidR="00767551" w:rsidTr="007A6E96">
        <w:trPr>
          <w:trHeight w:hRule="exact" w:val="737"/>
          <w:jc w:val="center"/>
        </w:trPr>
        <w:tc>
          <w:tcPr>
            <w:tcW w:w="2144"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kern w:val="0"/>
                <w:sz w:val="24"/>
              </w:rPr>
            </w:pPr>
            <w:r>
              <w:rPr>
                <w:kern w:val="0"/>
                <w:sz w:val="24"/>
              </w:rPr>
              <w:t>全</w:t>
            </w:r>
            <w:r>
              <w:rPr>
                <w:kern w:val="0"/>
                <w:sz w:val="24"/>
              </w:rPr>
              <w:t xml:space="preserve">  </w:t>
            </w:r>
            <w:r>
              <w:rPr>
                <w:kern w:val="0"/>
                <w:sz w:val="24"/>
              </w:rPr>
              <w:t>市</w:t>
            </w:r>
          </w:p>
        </w:tc>
        <w:tc>
          <w:tcPr>
            <w:tcW w:w="1545" w:type="dxa"/>
            <w:tcBorders>
              <w:top w:val="single" w:sz="4" w:space="0" w:color="auto"/>
              <w:left w:val="nil"/>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10.0</w:t>
            </w:r>
          </w:p>
        </w:tc>
        <w:tc>
          <w:tcPr>
            <w:tcW w:w="2140"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74.3</w:t>
            </w:r>
          </w:p>
        </w:tc>
        <w:tc>
          <w:tcPr>
            <w:tcW w:w="210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15</w:t>
            </w:r>
          </w:p>
        </w:tc>
        <w:tc>
          <w:tcPr>
            <w:tcW w:w="2205"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43.3</w:t>
            </w:r>
          </w:p>
        </w:tc>
        <w:tc>
          <w:tcPr>
            <w:tcW w:w="2165"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p>
        </w:tc>
      </w:tr>
      <w:tr w:rsidR="00767551" w:rsidTr="007A6E96">
        <w:trPr>
          <w:trHeight w:hRule="exact" w:val="737"/>
          <w:jc w:val="center"/>
        </w:trPr>
        <w:tc>
          <w:tcPr>
            <w:tcW w:w="2144" w:type="dxa"/>
            <w:tcBorders>
              <w:top w:val="nil"/>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kern w:val="0"/>
                <w:sz w:val="24"/>
              </w:rPr>
            </w:pPr>
            <w:proofErr w:type="gramStart"/>
            <w:r>
              <w:rPr>
                <w:kern w:val="0"/>
                <w:sz w:val="24"/>
              </w:rPr>
              <w:t>船山区</w:t>
            </w:r>
            <w:proofErr w:type="gramEnd"/>
          </w:p>
        </w:tc>
        <w:tc>
          <w:tcPr>
            <w:tcW w:w="1545" w:type="dxa"/>
            <w:tcBorders>
              <w:top w:val="single" w:sz="4" w:space="0" w:color="auto"/>
              <w:left w:val="nil"/>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10.5</w:t>
            </w:r>
          </w:p>
        </w:tc>
        <w:tc>
          <w:tcPr>
            <w:tcW w:w="2140"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4.4</w:t>
            </w:r>
          </w:p>
        </w:tc>
        <w:tc>
          <w:tcPr>
            <w:tcW w:w="210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15</w:t>
            </w:r>
          </w:p>
        </w:tc>
        <w:tc>
          <w:tcPr>
            <w:tcW w:w="2205"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7.1</w:t>
            </w:r>
          </w:p>
        </w:tc>
        <w:tc>
          <w:tcPr>
            <w:tcW w:w="2165"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w:t>
            </w:r>
          </w:p>
        </w:tc>
        <w:tc>
          <w:tcPr>
            <w:tcW w:w="162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p>
        </w:tc>
      </w:tr>
      <w:tr w:rsidR="00767551" w:rsidTr="007A6E96">
        <w:trPr>
          <w:trHeight w:hRule="exact" w:val="737"/>
          <w:jc w:val="center"/>
        </w:trPr>
        <w:tc>
          <w:tcPr>
            <w:tcW w:w="2144" w:type="dxa"/>
            <w:tcBorders>
              <w:top w:val="nil"/>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kern w:val="0"/>
                <w:sz w:val="24"/>
              </w:rPr>
            </w:pPr>
            <w:proofErr w:type="gramStart"/>
            <w:r>
              <w:rPr>
                <w:kern w:val="0"/>
                <w:sz w:val="24"/>
              </w:rPr>
              <w:t>安居区</w:t>
            </w:r>
            <w:proofErr w:type="gramEnd"/>
          </w:p>
        </w:tc>
        <w:tc>
          <w:tcPr>
            <w:tcW w:w="1545" w:type="dxa"/>
            <w:tcBorders>
              <w:top w:val="single" w:sz="4" w:space="0" w:color="auto"/>
              <w:left w:val="nil"/>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14.5</w:t>
            </w:r>
          </w:p>
        </w:tc>
        <w:tc>
          <w:tcPr>
            <w:tcW w:w="2140"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15.3</w:t>
            </w:r>
          </w:p>
        </w:tc>
        <w:tc>
          <w:tcPr>
            <w:tcW w:w="210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14</w:t>
            </w:r>
          </w:p>
        </w:tc>
        <w:tc>
          <w:tcPr>
            <w:tcW w:w="2205"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6.5</w:t>
            </w:r>
          </w:p>
        </w:tc>
        <w:tc>
          <w:tcPr>
            <w:tcW w:w="2165"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p>
        </w:tc>
      </w:tr>
      <w:tr w:rsidR="00767551" w:rsidTr="007A6E96">
        <w:trPr>
          <w:trHeight w:hRule="exact" w:val="737"/>
          <w:jc w:val="center"/>
        </w:trPr>
        <w:tc>
          <w:tcPr>
            <w:tcW w:w="2144" w:type="dxa"/>
            <w:tcBorders>
              <w:top w:val="nil"/>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kern w:val="0"/>
                <w:sz w:val="24"/>
              </w:rPr>
            </w:pPr>
            <w:r>
              <w:rPr>
                <w:kern w:val="0"/>
                <w:sz w:val="24"/>
              </w:rPr>
              <w:t>射洪县</w:t>
            </w:r>
          </w:p>
        </w:tc>
        <w:tc>
          <w:tcPr>
            <w:tcW w:w="1545" w:type="dxa"/>
            <w:tcBorders>
              <w:top w:val="single" w:sz="4" w:space="0" w:color="auto"/>
              <w:left w:val="nil"/>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9.7</w:t>
            </w:r>
          </w:p>
        </w:tc>
        <w:tc>
          <w:tcPr>
            <w:tcW w:w="2140"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8.5</w:t>
            </w:r>
          </w:p>
        </w:tc>
        <w:tc>
          <w:tcPr>
            <w:tcW w:w="210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16</w:t>
            </w:r>
          </w:p>
        </w:tc>
        <w:tc>
          <w:tcPr>
            <w:tcW w:w="2205"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10.0</w:t>
            </w:r>
          </w:p>
        </w:tc>
        <w:tc>
          <w:tcPr>
            <w:tcW w:w="2165"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p>
        </w:tc>
      </w:tr>
      <w:tr w:rsidR="00767551" w:rsidTr="007A6E96">
        <w:trPr>
          <w:trHeight w:hRule="exact" w:val="737"/>
          <w:jc w:val="center"/>
        </w:trPr>
        <w:tc>
          <w:tcPr>
            <w:tcW w:w="2144" w:type="dxa"/>
            <w:tcBorders>
              <w:top w:val="nil"/>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kern w:val="0"/>
                <w:sz w:val="24"/>
              </w:rPr>
            </w:pPr>
            <w:r>
              <w:rPr>
                <w:kern w:val="0"/>
                <w:sz w:val="24"/>
              </w:rPr>
              <w:t>蓬溪县</w:t>
            </w:r>
          </w:p>
        </w:tc>
        <w:tc>
          <w:tcPr>
            <w:tcW w:w="1545" w:type="dxa"/>
            <w:tcBorders>
              <w:top w:val="single" w:sz="4" w:space="0" w:color="auto"/>
              <w:left w:val="nil"/>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10.0</w:t>
            </w:r>
          </w:p>
        </w:tc>
        <w:tc>
          <w:tcPr>
            <w:tcW w:w="2140"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10.4</w:t>
            </w:r>
          </w:p>
        </w:tc>
        <w:tc>
          <w:tcPr>
            <w:tcW w:w="210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16</w:t>
            </w:r>
          </w:p>
        </w:tc>
        <w:tc>
          <w:tcPr>
            <w:tcW w:w="2205"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3.0</w:t>
            </w:r>
          </w:p>
        </w:tc>
        <w:tc>
          <w:tcPr>
            <w:tcW w:w="2165"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4</w:t>
            </w:r>
          </w:p>
        </w:tc>
        <w:tc>
          <w:tcPr>
            <w:tcW w:w="162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p>
        </w:tc>
      </w:tr>
      <w:tr w:rsidR="00767551" w:rsidTr="007A6E96">
        <w:trPr>
          <w:trHeight w:hRule="exact" w:val="737"/>
          <w:jc w:val="center"/>
        </w:trPr>
        <w:tc>
          <w:tcPr>
            <w:tcW w:w="2144" w:type="dxa"/>
            <w:tcBorders>
              <w:top w:val="nil"/>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kern w:val="0"/>
                <w:sz w:val="24"/>
              </w:rPr>
            </w:pPr>
            <w:r>
              <w:rPr>
                <w:kern w:val="0"/>
                <w:sz w:val="24"/>
              </w:rPr>
              <w:t>大英县</w:t>
            </w:r>
          </w:p>
        </w:tc>
        <w:tc>
          <w:tcPr>
            <w:tcW w:w="1545" w:type="dxa"/>
            <w:tcBorders>
              <w:top w:val="single" w:sz="4" w:space="0" w:color="auto"/>
              <w:left w:val="nil"/>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10.3</w:t>
            </w:r>
          </w:p>
        </w:tc>
        <w:tc>
          <w:tcPr>
            <w:tcW w:w="2140"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17.7</w:t>
            </w:r>
          </w:p>
        </w:tc>
        <w:tc>
          <w:tcPr>
            <w:tcW w:w="210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14</w:t>
            </w:r>
          </w:p>
        </w:tc>
        <w:tc>
          <w:tcPr>
            <w:tcW w:w="2205"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10.9</w:t>
            </w:r>
          </w:p>
        </w:tc>
        <w:tc>
          <w:tcPr>
            <w:tcW w:w="2165"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p>
        </w:tc>
      </w:tr>
      <w:tr w:rsidR="00767551" w:rsidTr="007A6E96">
        <w:trPr>
          <w:trHeight w:hRule="exact" w:val="778"/>
          <w:jc w:val="center"/>
        </w:trPr>
        <w:tc>
          <w:tcPr>
            <w:tcW w:w="2144" w:type="dxa"/>
            <w:tcBorders>
              <w:top w:val="nil"/>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kern w:val="0"/>
                <w:sz w:val="24"/>
              </w:rPr>
              <w:t>遂宁</w:t>
            </w:r>
            <w:r>
              <w:rPr>
                <w:rFonts w:hint="eastAsia"/>
                <w:kern w:val="0"/>
                <w:sz w:val="24"/>
              </w:rPr>
              <w:t>经开区</w:t>
            </w:r>
          </w:p>
        </w:tc>
        <w:tc>
          <w:tcPr>
            <w:tcW w:w="1545" w:type="dxa"/>
            <w:tcBorders>
              <w:top w:val="single" w:sz="4" w:space="0" w:color="auto"/>
              <w:left w:val="nil"/>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10.2</w:t>
            </w:r>
          </w:p>
        </w:tc>
        <w:tc>
          <w:tcPr>
            <w:tcW w:w="2140"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18.1</w:t>
            </w:r>
          </w:p>
        </w:tc>
        <w:tc>
          <w:tcPr>
            <w:tcW w:w="210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15</w:t>
            </w:r>
          </w:p>
        </w:tc>
        <w:tc>
          <w:tcPr>
            <w:tcW w:w="2205" w:type="dxa"/>
            <w:tcBorders>
              <w:top w:val="single" w:sz="4" w:space="0" w:color="auto"/>
              <w:bottom w:val="single" w:sz="4" w:space="0" w:color="auto"/>
              <w:right w:val="single" w:sz="4" w:space="0" w:color="auto"/>
            </w:tcBorders>
          </w:tcPr>
          <w:p w:rsidR="00767551" w:rsidRDefault="00767551" w:rsidP="00767551">
            <w:pPr>
              <w:widowControl/>
              <w:spacing w:line="500" w:lineRule="exact"/>
              <w:jc w:val="center"/>
              <w:rPr>
                <w:rFonts w:hint="eastAsia"/>
                <w:kern w:val="0"/>
                <w:sz w:val="24"/>
              </w:rPr>
            </w:pPr>
            <w:r>
              <w:rPr>
                <w:rFonts w:hint="eastAsia"/>
                <w:kern w:val="0"/>
                <w:sz w:val="24"/>
              </w:rPr>
              <w:t>5.8</w:t>
            </w:r>
          </w:p>
        </w:tc>
        <w:tc>
          <w:tcPr>
            <w:tcW w:w="2165"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r>
              <w:rPr>
                <w:rFonts w:hint="eastAsia"/>
                <w:kern w:val="0"/>
                <w:sz w:val="24"/>
              </w:rPr>
              <w:t>3</w:t>
            </w:r>
          </w:p>
        </w:tc>
        <w:tc>
          <w:tcPr>
            <w:tcW w:w="1620" w:type="dxa"/>
            <w:tcBorders>
              <w:top w:val="single" w:sz="4" w:space="0" w:color="auto"/>
              <w:left w:val="single" w:sz="4" w:space="0" w:color="auto"/>
              <w:bottom w:val="single" w:sz="4" w:space="0" w:color="auto"/>
              <w:right w:val="single" w:sz="4" w:space="0" w:color="auto"/>
            </w:tcBorders>
            <w:vAlign w:val="center"/>
          </w:tcPr>
          <w:p w:rsidR="00767551" w:rsidRDefault="00767551" w:rsidP="00767551">
            <w:pPr>
              <w:widowControl/>
              <w:spacing w:line="500" w:lineRule="exact"/>
              <w:jc w:val="center"/>
              <w:rPr>
                <w:rFonts w:hint="eastAsia"/>
                <w:kern w:val="0"/>
                <w:sz w:val="24"/>
              </w:rPr>
            </w:pPr>
          </w:p>
        </w:tc>
      </w:tr>
    </w:tbl>
    <w:p w:rsidR="00767551" w:rsidRDefault="00767551" w:rsidP="00767551">
      <w:pPr>
        <w:spacing w:line="520" w:lineRule="exact"/>
        <w:jc w:val="center"/>
        <w:rPr>
          <w:rFonts w:hint="eastAsia"/>
          <w:sz w:val="44"/>
          <w:szCs w:val="44"/>
        </w:rPr>
      </w:pPr>
    </w:p>
    <w:p w:rsidR="00767551" w:rsidRDefault="00767551" w:rsidP="00767551">
      <w:pPr>
        <w:spacing w:line="520" w:lineRule="exact"/>
        <w:rPr>
          <w:rFonts w:ascii="黑体" w:eastAsia="黑体" w:hAnsi="黑体" w:hint="eastAsia"/>
        </w:rPr>
      </w:pPr>
      <w:r>
        <w:rPr>
          <w:rFonts w:ascii="黑体" w:eastAsia="黑体" w:hAnsi="黑体" w:hint="eastAsia"/>
        </w:rPr>
        <w:lastRenderedPageBreak/>
        <w:t>附件2</w:t>
      </w:r>
    </w:p>
    <w:p w:rsidR="00767551" w:rsidRPr="007A6E96" w:rsidRDefault="00767551" w:rsidP="007A6E96">
      <w:pPr>
        <w:spacing w:line="520" w:lineRule="exact"/>
        <w:jc w:val="center"/>
        <w:rPr>
          <w:rFonts w:ascii="方正小标宋简体" w:eastAsia="方正小标宋简体" w:hint="eastAsia"/>
          <w:sz w:val="44"/>
          <w:szCs w:val="44"/>
        </w:rPr>
      </w:pPr>
      <w:r w:rsidRPr="007A6E96">
        <w:rPr>
          <w:rFonts w:ascii="方正小标宋简体" w:eastAsia="方正小标宋简体" w:hint="eastAsia"/>
          <w:sz w:val="44"/>
          <w:szCs w:val="44"/>
        </w:rPr>
        <w:t>2017年计划新开工工业项目一览表</w:t>
      </w:r>
    </w:p>
    <w:p w:rsidR="00767551" w:rsidRDefault="00767551" w:rsidP="00767551">
      <w:pPr>
        <w:spacing w:line="520" w:lineRule="exact"/>
        <w:jc w:val="center"/>
        <w:rPr>
          <w:rFonts w:hint="eastAsia"/>
          <w:sz w:val="44"/>
          <w:szCs w:val="44"/>
        </w:rPr>
      </w:pPr>
    </w:p>
    <w:tbl>
      <w:tblPr>
        <w:tblW w:w="13626" w:type="dxa"/>
        <w:tblInd w:w="108" w:type="dxa"/>
        <w:tblLayout w:type="fixed"/>
        <w:tblLook w:val="0000"/>
      </w:tblPr>
      <w:tblGrid>
        <w:gridCol w:w="462"/>
        <w:gridCol w:w="1682"/>
        <w:gridCol w:w="819"/>
        <w:gridCol w:w="5677"/>
        <w:gridCol w:w="945"/>
        <w:gridCol w:w="1050"/>
        <w:gridCol w:w="945"/>
        <w:gridCol w:w="945"/>
        <w:gridCol w:w="1101"/>
      </w:tblGrid>
      <w:tr w:rsidR="00767551" w:rsidRPr="007A6E96" w:rsidTr="007A6E96">
        <w:trPr>
          <w:tblHeader/>
        </w:trPr>
        <w:tc>
          <w:tcPr>
            <w:tcW w:w="462"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序号</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企业名称</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项目所在县（区）</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项目名称、主要建设内容及产能</w:t>
            </w:r>
          </w:p>
        </w:tc>
        <w:tc>
          <w:tcPr>
            <w:tcW w:w="945" w:type="dxa"/>
            <w:tcBorders>
              <w:top w:val="single" w:sz="4" w:space="0" w:color="auto"/>
              <w:left w:val="nil"/>
              <w:bottom w:val="single" w:sz="4" w:space="0" w:color="auto"/>
              <w:right w:val="nil"/>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总投资</w:t>
            </w:r>
            <w:r w:rsidRPr="007A6E96">
              <w:rPr>
                <w:rFonts w:ascii="黑体" w:eastAsia="黑体" w:hAnsi="黑体"/>
                <w:kern w:val="0"/>
                <w:sz w:val="18"/>
                <w:szCs w:val="18"/>
              </w:rPr>
              <w:br/>
              <w:t>（万元）</w:t>
            </w:r>
          </w:p>
        </w:tc>
        <w:tc>
          <w:tcPr>
            <w:tcW w:w="1050" w:type="dxa"/>
            <w:tcBorders>
              <w:top w:val="single" w:sz="4" w:space="0" w:color="auto"/>
              <w:left w:val="single" w:sz="4" w:space="0" w:color="auto"/>
              <w:bottom w:val="single" w:sz="4" w:space="0" w:color="auto"/>
              <w:right w:val="single" w:sz="4" w:space="0" w:color="auto"/>
            </w:tcBorders>
            <w:vAlign w:val="center"/>
          </w:tcPr>
          <w:p w:rsidR="007A6E96" w:rsidRDefault="00767551" w:rsidP="007A6E96">
            <w:pPr>
              <w:widowControl/>
              <w:spacing w:line="240" w:lineRule="exact"/>
              <w:jc w:val="center"/>
              <w:rPr>
                <w:rFonts w:ascii="黑体" w:eastAsia="黑体" w:hAnsi="黑体" w:hint="eastAsia"/>
                <w:kern w:val="0"/>
                <w:sz w:val="18"/>
                <w:szCs w:val="18"/>
              </w:rPr>
            </w:pPr>
            <w:r w:rsidRPr="007A6E96">
              <w:rPr>
                <w:rFonts w:ascii="黑体" w:eastAsia="黑体" w:hAnsi="黑体"/>
                <w:kern w:val="0"/>
                <w:sz w:val="18"/>
                <w:szCs w:val="18"/>
              </w:rPr>
              <w:t>2017年计划投资</w:t>
            </w:r>
          </w:p>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（万元）</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项目开工时间</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项目竣工时间</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rFonts w:ascii="黑体" w:eastAsia="黑体" w:hAnsi="黑体"/>
                <w:kern w:val="0"/>
                <w:sz w:val="18"/>
                <w:szCs w:val="18"/>
              </w:rPr>
            </w:pPr>
            <w:r w:rsidRPr="007A6E96">
              <w:rPr>
                <w:rFonts w:ascii="黑体" w:eastAsia="黑体" w:hAnsi="黑体"/>
                <w:kern w:val="0"/>
                <w:sz w:val="18"/>
                <w:szCs w:val="18"/>
              </w:rPr>
              <w:t>所属行业</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1</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遂宁市勇华</w:t>
            </w:r>
            <w:proofErr w:type="gramEnd"/>
            <w:r w:rsidRPr="007A6E96">
              <w:rPr>
                <w:kern w:val="0"/>
                <w:sz w:val="18"/>
                <w:szCs w:val="18"/>
              </w:rPr>
              <w:t>食品有限公司</w:t>
            </w:r>
          </w:p>
        </w:tc>
        <w:tc>
          <w:tcPr>
            <w:tcW w:w="819"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r w:rsidRPr="007A6E96">
              <w:rPr>
                <w:kern w:val="0"/>
                <w:sz w:val="18"/>
                <w:szCs w:val="18"/>
              </w:rPr>
              <w:t>遂宁</w:t>
            </w:r>
          </w:p>
          <w:p w:rsidR="00767551" w:rsidRPr="007A6E96" w:rsidRDefault="00767551" w:rsidP="007A6E96">
            <w:pPr>
              <w:widowControl/>
              <w:spacing w:line="240" w:lineRule="exact"/>
              <w:jc w:val="center"/>
              <w:rPr>
                <w:kern w:val="0"/>
                <w:sz w:val="18"/>
                <w:szCs w:val="18"/>
              </w:rPr>
            </w:pPr>
            <w:r w:rsidRPr="007A6E96">
              <w:rPr>
                <w:kern w:val="0"/>
                <w:sz w:val="18"/>
                <w:szCs w:val="18"/>
              </w:rPr>
              <w:t>经开区</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60" w:lineRule="exact"/>
              <w:rPr>
                <w:kern w:val="0"/>
                <w:sz w:val="18"/>
                <w:szCs w:val="18"/>
              </w:rPr>
            </w:pPr>
            <w:r w:rsidRPr="007A6E96">
              <w:rPr>
                <w:kern w:val="0"/>
                <w:sz w:val="18"/>
                <w:szCs w:val="18"/>
              </w:rPr>
              <w:t>酱肉及速冻调理肉食品项目。项目新征用地</w:t>
            </w:r>
            <w:r w:rsidRPr="007A6E96">
              <w:rPr>
                <w:kern w:val="0"/>
                <w:sz w:val="18"/>
                <w:szCs w:val="18"/>
              </w:rPr>
              <w:t>30</w:t>
            </w:r>
            <w:r w:rsidRPr="007A6E96">
              <w:rPr>
                <w:kern w:val="0"/>
                <w:sz w:val="18"/>
                <w:szCs w:val="18"/>
              </w:rPr>
              <w:t>亩，建设办公楼</w:t>
            </w:r>
            <w:r w:rsidRPr="007A6E96">
              <w:rPr>
                <w:kern w:val="0"/>
                <w:sz w:val="18"/>
                <w:szCs w:val="18"/>
              </w:rPr>
              <w:t>1600</w:t>
            </w:r>
            <w:r w:rsidRPr="007A6E96">
              <w:rPr>
                <w:kern w:val="0"/>
                <w:sz w:val="18"/>
                <w:szCs w:val="18"/>
              </w:rPr>
              <w:t>平方米、宿舍</w:t>
            </w:r>
            <w:r w:rsidRPr="007A6E96">
              <w:rPr>
                <w:kern w:val="0"/>
                <w:sz w:val="18"/>
                <w:szCs w:val="18"/>
              </w:rPr>
              <w:t>2400</w:t>
            </w:r>
            <w:r w:rsidRPr="007A6E96">
              <w:rPr>
                <w:kern w:val="0"/>
                <w:sz w:val="18"/>
                <w:szCs w:val="18"/>
              </w:rPr>
              <w:t>平方米、生产车间</w:t>
            </w:r>
            <w:r w:rsidRPr="007A6E96">
              <w:rPr>
                <w:kern w:val="0"/>
                <w:sz w:val="18"/>
                <w:szCs w:val="18"/>
              </w:rPr>
              <w:t>10000</w:t>
            </w:r>
            <w:r w:rsidRPr="007A6E96">
              <w:rPr>
                <w:kern w:val="0"/>
                <w:sz w:val="18"/>
                <w:szCs w:val="18"/>
              </w:rPr>
              <w:t>平方米、速冻库</w:t>
            </w:r>
            <w:r w:rsidRPr="007A6E96">
              <w:rPr>
                <w:kern w:val="0"/>
                <w:sz w:val="18"/>
                <w:szCs w:val="18"/>
              </w:rPr>
              <w:t>2000</w:t>
            </w:r>
            <w:r w:rsidRPr="007A6E96">
              <w:rPr>
                <w:kern w:val="0"/>
                <w:sz w:val="18"/>
                <w:szCs w:val="18"/>
              </w:rPr>
              <w:t>平方米、库房</w:t>
            </w:r>
            <w:r w:rsidRPr="007A6E96">
              <w:rPr>
                <w:kern w:val="0"/>
                <w:sz w:val="18"/>
                <w:szCs w:val="18"/>
              </w:rPr>
              <w:t>5000</w:t>
            </w:r>
            <w:r w:rsidRPr="007A6E96">
              <w:rPr>
                <w:kern w:val="0"/>
                <w:sz w:val="18"/>
                <w:szCs w:val="18"/>
              </w:rPr>
              <w:t>平方米。新购锅炉</w:t>
            </w:r>
            <w:r w:rsidRPr="007A6E96">
              <w:rPr>
                <w:kern w:val="0"/>
                <w:sz w:val="18"/>
                <w:szCs w:val="18"/>
              </w:rPr>
              <w:t>1</w:t>
            </w:r>
            <w:r w:rsidRPr="007A6E96">
              <w:rPr>
                <w:kern w:val="0"/>
                <w:sz w:val="18"/>
                <w:szCs w:val="18"/>
              </w:rPr>
              <w:t>台，夹层锅</w:t>
            </w:r>
            <w:r w:rsidRPr="007A6E96">
              <w:rPr>
                <w:kern w:val="0"/>
                <w:sz w:val="18"/>
                <w:szCs w:val="18"/>
              </w:rPr>
              <w:t>10</w:t>
            </w:r>
            <w:r w:rsidRPr="007A6E96">
              <w:rPr>
                <w:kern w:val="0"/>
                <w:sz w:val="18"/>
                <w:szCs w:val="18"/>
              </w:rPr>
              <w:t>台，自动滚揉机</w:t>
            </w:r>
            <w:r w:rsidRPr="007A6E96">
              <w:rPr>
                <w:kern w:val="0"/>
                <w:sz w:val="18"/>
                <w:szCs w:val="18"/>
              </w:rPr>
              <w:t>8</w:t>
            </w:r>
            <w:r w:rsidRPr="007A6E96">
              <w:rPr>
                <w:kern w:val="0"/>
                <w:sz w:val="18"/>
                <w:szCs w:val="18"/>
              </w:rPr>
              <w:t>台，无菌注射机</w:t>
            </w:r>
            <w:r w:rsidRPr="007A6E96">
              <w:rPr>
                <w:kern w:val="0"/>
                <w:sz w:val="18"/>
                <w:szCs w:val="18"/>
              </w:rPr>
              <w:t>4</w:t>
            </w:r>
            <w:r w:rsidRPr="007A6E96">
              <w:rPr>
                <w:kern w:val="0"/>
                <w:sz w:val="18"/>
                <w:szCs w:val="18"/>
              </w:rPr>
              <w:t>台，料车</w:t>
            </w:r>
            <w:r w:rsidRPr="007A6E96">
              <w:rPr>
                <w:kern w:val="0"/>
                <w:sz w:val="18"/>
                <w:szCs w:val="18"/>
              </w:rPr>
              <w:t>30</w:t>
            </w:r>
            <w:r w:rsidRPr="007A6E96">
              <w:rPr>
                <w:kern w:val="0"/>
                <w:sz w:val="18"/>
                <w:szCs w:val="18"/>
              </w:rPr>
              <w:t>个，打码机</w:t>
            </w:r>
            <w:r w:rsidRPr="007A6E96">
              <w:rPr>
                <w:kern w:val="0"/>
                <w:sz w:val="18"/>
                <w:szCs w:val="18"/>
              </w:rPr>
              <w:t>4</w:t>
            </w:r>
            <w:r w:rsidRPr="007A6E96">
              <w:rPr>
                <w:kern w:val="0"/>
                <w:sz w:val="18"/>
                <w:szCs w:val="18"/>
              </w:rPr>
              <w:t>个，真空机</w:t>
            </w:r>
            <w:r w:rsidRPr="007A6E96">
              <w:rPr>
                <w:kern w:val="0"/>
                <w:sz w:val="18"/>
                <w:szCs w:val="18"/>
              </w:rPr>
              <w:t>6</w:t>
            </w:r>
            <w:r w:rsidRPr="007A6E96">
              <w:rPr>
                <w:kern w:val="0"/>
                <w:sz w:val="18"/>
                <w:szCs w:val="18"/>
              </w:rPr>
              <w:t>台，快速封口机</w:t>
            </w:r>
            <w:r w:rsidRPr="007A6E96">
              <w:rPr>
                <w:kern w:val="0"/>
                <w:sz w:val="18"/>
                <w:szCs w:val="18"/>
              </w:rPr>
              <w:t>6</w:t>
            </w:r>
            <w:r w:rsidRPr="007A6E96">
              <w:rPr>
                <w:kern w:val="0"/>
                <w:sz w:val="18"/>
                <w:szCs w:val="18"/>
              </w:rPr>
              <w:t>个，冻库</w:t>
            </w:r>
            <w:r w:rsidRPr="007A6E96">
              <w:rPr>
                <w:kern w:val="0"/>
                <w:sz w:val="18"/>
                <w:szCs w:val="18"/>
              </w:rPr>
              <w:t>1</w:t>
            </w:r>
            <w:r w:rsidRPr="007A6E96">
              <w:rPr>
                <w:kern w:val="0"/>
                <w:sz w:val="18"/>
                <w:szCs w:val="18"/>
              </w:rPr>
              <w:t>个，建设新型高效酱肉生产线三条，形成年产酱肉</w:t>
            </w:r>
            <w:r w:rsidRPr="007A6E96">
              <w:rPr>
                <w:kern w:val="0"/>
                <w:sz w:val="18"/>
                <w:szCs w:val="18"/>
              </w:rPr>
              <w:t>2000</w:t>
            </w:r>
            <w:r w:rsidRPr="007A6E96">
              <w:rPr>
                <w:kern w:val="0"/>
                <w:sz w:val="18"/>
                <w:szCs w:val="18"/>
              </w:rPr>
              <w:t>吨，速冻猪肉</w:t>
            </w:r>
            <w:r w:rsidRPr="007A6E96">
              <w:rPr>
                <w:kern w:val="0"/>
                <w:sz w:val="18"/>
                <w:szCs w:val="18"/>
              </w:rPr>
              <w:t>1000</w:t>
            </w:r>
            <w:r w:rsidRPr="007A6E96">
              <w:rPr>
                <w:kern w:val="0"/>
                <w:sz w:val="18"/>
                <w:szCs w:val="18"/>
              </w:rPr>
              <w:t>吨、牛肉</w:t>
            </w:r>
            <w:r w:rsidRPr="007A6E96">
              <w:rPr>
                <w:kern w:val="0"/>
                <w:sz w:val="18"/>
                <w:szCs w:val="18"/>
              </w:rPr>
              <w:t>600</w:t>
            </w:r>
            <w:r w:rsidRPr="007A6E96">
              <w:rPr>
                <w:kern w:val="0"/>
                <w:sz w:val="18"/>
                <w:szCs w:val="18"/>
              </w:rPr>
              <w:t>吨的生产储存能力。</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7860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7860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2017.03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2018.12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食品饮料</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2</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四川瑞泽</w:t>
            </w:r>
            <w:proofErr w:type="gramStart"/>
            <w:r w:rsidRPr="007A6E96">
              <w:rPr>
                <w:kern w:val="0"/>
                <w:sz w:val="18"/>
                <w:szCs w:val="18"/>
              </w:rPr>
              <w:t>杭萧钢</w:t>
            </w:r>
            <w:proofErr w:type="gramEnd"/>
            <w:r w:rsidRPr="007A6E96">
              <w:rPr>
                <w:kern w:val="0"/>
                <w:sz w:val="18"/>
                <w:szCs w:val="18"/>
              </w:rPr>
              <w:t>构建筑材料有限公司</w:t>
            </w:r>
          </w:p>
        </w:tc>
        <w:tc>
          <w:tcPr>
            <w:tcW w:w="819"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r w:rsidRPr="007A6E96">
              <w:rPr>
                <w:kern w:val="0"/>
                <w:sz w:val="18"/>
                <w:szCs w:val="18"/>
              </w:rPr>
              <w:t>遂宁</w:t>
            </w:r>
          </w:p>
          <w:p w:rsidR="00767551" w:rsidRPr="007A6E96" w:rsidRDefault="00767551" w:rsidP="007A6E96">
            <w:pPr>
              <w:widowControl/>
              <w:spacing w:line="240" w:lineRule="exact"/>
              <w:jc w:val="center"/>
              <w:rPr>
                <w:kern w:val="0"/>
                <w:sz w:val="18"/>
                <w:szCs w:val="18"/>
              </w:rPr>
            </w:pPr>
            <w:r w:rsidRPr="007A6E96">
              <w:rPr>
                <w:kern w:val="0"/>
                <w:sz w:val="18"/>
                <w:szCs w:val="18"/>
              </w:rPr>
              <w:t>经开区</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60" w:lineRule="exact"/>
              <w:rPr>
                <w:kern w:val="0"/>
                <w:sz w:val="18"/>
                <w:szCs w:val="18"/>
              </w:rPr>
            </w:pPr>
            <w:r w:rsidRPr="007A6E96">
              <w:rPr>
                <w:kern w:val="0"/>
                <w:sz w:val="18"/>
                <w:szCs w:val="18"/>
              </w:rPr>
              <w:t>四川瑞泽</w:t>
            </w:r>
            <w:proofErr w:type="gramStart"/>
            <w:r w:rsidRPr="007A6E96">
              <w:rPr>
                <w:kern w:val="0"/>
                <w:sz w:val="18"/>
                <w:szCs w:val="18"/>
              </w:rPr>
              <w:t>杭萧钢构生产</w:t>
            </w:r>
            <w:proofErr w:type="gramEnd"/>
            <w:r w:rsidRPr="007A6E96">
              <w:rPr>
                <w:kern w:val="0"/>
                <w:sz w:val="18"/>
                <w:szCs w:val="18"/>
              </w:rPr>
              <w:t>基地项目。该项目建设规模为总占地面积为</w:t>
            </w:r>
            <w:r w:rsidRPr="007A6E96">
              <w:rPr>
                <w:kern w:val="0"/>
                <w:sz w:val="18"/>
                <w:szCs w:val="18"/>
              </w:rPr>
              <w:t>197674</w:t>
            </w:r>
            <w:r w:rsidRPr="007A6E96">
              <w:rPr>
                <w:kern w:val="0"/>
                <w:sz w:val="18"/>
                <w:szCs w:val="18"/>
              </w:rPr>
              <w:t>平方米，建筑占地面积为</w:t>
            </w:r>
            <w:r w:rsidRPr="007A6E96">
              <w:rPr>
                <w:kern w:val="0"/>
                <w:sz w:val="18"/>
                <w:szCs w:val="18"/>
              </w:rPr>
              <w:t>96399</w:t>
            </w:r>
            <w:r w:rsidRPr="007A6E96">
              <w:rPr>
                <w:kern w:val="0"/>
                <w:sz w:val="18"/>
                <w:szCs w:val="18"/>
              </w:rPr>
              <w:t>平方米，总建筑面积为</w:t>
            </w:r>
            <w:r w:rsidRPr="007A6E96">
              <w:rPr>
                <w:kern w:val="0"/>
                <w:sz w:val="18"/>
                <w:szCs w:val="18"/>
              </w:rPr>
              <w:t>113386</w:t>
            </w:r>
            <w:r w:rsidRPr="007A6E96">
              <w:rPr>
                <w:kern w:val="0"/>
                <w:sz w:val="18"/>
                <w:szCs w:val="18"/>
              </w:rPr>
              <w:t>平方米（</w:t>
            </w:r>
            <w:proofErr w:type="gramStart"/>
            <w:r w:rsidRPr="007A6E96">
              <w:rPr>
                <w:kern w:val="0"/>
                <w:sz w:val="18"/>
                <w:szCs w:val="18"/>
              </w:rPr>
              <w:t>计容建筑面积</w:t>
            </w:r>
            <w:proofErr w:type="gramEnd"/>
            <w:r w:rsidRPr="007A6E96">
              <w:rPr>
                <w:kern w:val="0"/>
                <w:sz w:val="18"/>
                <w:szCs w:val="18"/>
              </w:rPr>
              <w:t>200342</w:t>
            </w:r>
            <w:r w:rsidRPr="007A6E96">
              <w:rPr>
                <w:kern w:val="0"/>
                <w:sz w:val="18"/>
                <w:szCs w:val="18"/>
              </w:rPr>
              <w:t>平方米）。新建生产厂房</w:t>
            </w:r>
            <w:r w:rsidRPr="007A6E96">
              <w:rPr>
                <w:kern w:val="0"/>
                <w:sz w:val="18"/>
                <w:szCs w:val="18"/>
              </w:rPr>
              <w:t>89205</w:t>
            </w:r>
            <w:r w:rsidRPr="007A6E96">
              <w:rPr>
                <w:kern w:val="0"/>
                <w:sz w:val="18"/>
                <w:szCs w:val="18"/>
              </w:rPr>
              <w:t>平方米。共分两期建设完成：主要建设钢管束生产线</w:t>
            </w:r>
            <w:r w:rsidRPr="007A6E96">
              <w:rPr>
                <w:kern w:val="0"/>
                <w:sz w:val="18"/>
                <w:szCs w:val="18"/>
              </w:rPr>
              <w:t>2</w:t>
            </w:r>
            <w:r w:rsidRPr="007A6E96">
              <w:rPr>
                <w:kern w:val="0"/>
                <w:sz w:val="18"/>
                <w:szCs w:val="18"/>
              </w:rPr>
              <w:t>条，</w:t>
            </w:r>
            <w:r w:rsidRPr="007A6E96">
              <w:rPr>
                <w:kern w:val="0"/>
                <w:sz w:val="18"/>
                <w:szCs w:val="18"/>
              </w:rPr>
              <w:t>H</w:t>
            </w:r>
            <w:r w:rsidRPr="007A6E96">
              <w:rPr>
                <w:kern w:val="0"/>
                <w:sz w:val="18"/>
                <w:szCs w:val="18"/>
              </w:rPr>
              <w:t>型钢十字柱构件生产线</w:t>
            </w:r>
            <w:r w:rsidRPr="007A6E96">
              <w:rPr>
                <w:kern w:val="0"/>
                <w:sz w:val="18"/>
                <w:szCs w:val="18"/>
              </w:rPr>
              <w:t>2</w:t>
            </w:r>
            <w:r w:rsidRPr="007A6E96">
              <w:rPr>
                <w:kern w:val="0"/>
                <w:sz w:val="18"/>
                <w:szCs w:val="18"/>
              </w:rPr>
              <w:t>条，钢筋</w:t>
            </w:r>
            <w:proofErr w:type="gramStart"/>
            <w:r w:rsidRPr="007A6E96">
              <w:rPr>
                <w:kern w:val="0"/>
                <w:sz w:val="18"/>
                <w:szCs w:val="18"/>
              </w:rPr>
              <w:t>桁架楼承板</w:t>
            </w:r>
            <w:proofErr w:type="gramEnd"/>
            <w:r w:rsidRPr="007A6E96">
              <w:rPr>
                <w:kern w:val="0"/>
                <w:sz w:val="18"/>
                <w:szCs w:val="18"/>
              </w:rPr>
              <w:t>生产线</w:t>
            </w:r>
            <w:r w:rsidRPr="007A6E96">
              <w:rPr>
                <w:kern w:val="0"/>
                <w:sz w:val="18"/>
                <w:szCs w:val="18"/>
              </w:rPr>
              <w:t>2</w:t>
            </w:r>
            <w:r w:rsidRPr="007A6E96">
              <w:rPr>
                <w:kern w:val="0"/>
                <w:sz w:val="18"/>
                <w:szCs w:val="18"/>
              </w:rPr>
              <w:t>条，</w:t>
            </w:r>
            <w:r w:rsidRPr="007A6E96">
              <w:rPr>
                <w:kern w:val="0"/>
                <w:sz w:val="18"/>
                <w:szCs w:val="18"/>
              </w:rPr>
              <w:t>CCA</w:t>
            </w:r>
            <w:r w:rsidRPr="007A6E96">
              <w:rPr>
                <w:kern w:val="0"/>
                <w:sz w:val="18"/>
                <w:szCs w:val="18"/>
              </w:rPr>
              <w:t>板生产线</w:t>
            </w:r>
            <w:r w:rsidRPr="007A6E96">
              <w:rPr>
                <w:kern w:val="0"/>
                <w:sz w:val="18"/>
                <w:szCs w:val="18"/>
              </w:rPr>
              <w:t>1</w:t>
            </w:r>
            <w:r w:rsidRPr="007A6E96">
              <w:rPr>
                <w:kern w:val="0"/>
                <w:sz w:val="18"/>
                <w:szCs w:val="18"/>
              </w:rPr>
              <w:t>条。</w:t>
            </w:r>
            <w:r w:rsidRPr="007A6E96">
              <w:rPr>
                <w:kern w:val="0"/>
                <w:sz w:val="18"/>
                <w:szCs w:val="18"/>
              </w:rPr>
              <w:t xml:space="preserve">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88153</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30000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2017.10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2018.07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机械与装备制造</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3</w:t>
            </w:r>
          </w:p>
        </w:tc>
        <w:tc>
          <w:tcPr>
            <w:tcW w:w="1682"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r w:rsidRPr="007A6E96">
              <w:rPr>
                <w:kern w:val="0"/>
                <w:sz w:val="18"/>
                <w:szCs w:val="18"/>
              </w:rPr>
              <w:t>四川</w:t>
            </w:r>
            <w:proofErr w:type="gramStart"/>
            <w:r w:rsidRPr="007A6E96">
              <w:rPr>
                <w:kern w:val="0"/>
                <w:sz w:val="18"/>
                <w:szCs w:val="18"/>
              </w:rPr>
              <w:t>全泰堂</w:t>
            </w:r>
            <w:proofErr w:type="gramEnd"/>
          </w:p>
          <w:p w:rsidR="00767551" w:rsidRPr="007A6E96" w:rsidRDefault="00767551" w:rsidP="007A6E96">
            <w:pPr>
              <w:widowControl/>
              <w:spacing w:line="240" w:lineRule="exact"/>
              <w:jc w:val="center"/>
              <w:rPr>
                <w:kern w:val="0"/>
                <w:sz w:val="18"/>
                <w:szCs w:val="18"/>
              </w:rPr>
            </w:pPr>
            <w:r w:rsidRPr="007A6E96">
              <w:rPr>
                <w:kern w:val="0"/>
                <w:sz w:val="18"/>
                <w:szCs w:val="18"/>
              </w:rPr>
              <w:t>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遂宁经开区</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中药饮片、中成药、保健食品生产工艺项目。</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25000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10000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2017.02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2019.08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其它</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4</w:t>
            </w:r>
          </w:p>
        </w:tc>
        <w:tc>
          <w:tcPr>
            <w:tcW w:w="1682"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proofErr w:type="gramStart"/>
            <w:r w:rsidRPr="007A6E96">
              <w:rPr>
                <w:kern w:val="0"/>
                <w:sz w:val="18"/>
                <w:szCs w:val="18"/>
              </w:rPr>
              <w:t>四川博宇传媒</w:t>
            </w:r>
            <w:proofErr w:type="gramEnd"/>
          </w:p>
          <w:p w:rsidR="00767551" w:rsidRPr="007A6E96" w:rsidRDefault="00767551" w:rsidP="007A6E96">
            <w:pPr>
              <w:widowControl/>
              <w:spacing w:line="240" w:lineRule="exact"/>
              <w:jc w:val="center"/>
              <w:rPr>
                <w:kern w:val="0"/>
                <w:sz w:val="18"/>
                <w:szCs w:val="18"/>
              </w:rPr>
            </w:pPr>
            <w:r w:rsidRPr="007A6E96">
              <w:rPr>
                <w:kern w:val="0"/>
                <w:sz w:val="18"/>
                <w:szCs w:val="18"/>
              </w:rPr>
              <w:t>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船山区</w:t>
            </w:r>
            <w:proofErr w:type="gramEnd"/>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60" w:lineRule="exact"/>
              <w:rPr>
                <w:kern w:val="0"/>
                <w:sz w:val="18"/>
                <w:szCs w:val="18"/>
              </w:rPr>
            </w:pPr>
            <w:r w:rsidRPr="007A6E96">
              <w:rPr>
                <w:kern w:val="0"/>
                <w:sz w:val="18"/>
                <w:szCs w:val="18"/>
              </w:rPr>
              <w:t>船</w:t>
            </w:r>
            <w:proofErr w:type="gramStart"/>
            <w:r w:rsidRPr="007A6E96">
              <w:rPr>
                <w:kern w:val="0"/>
                <w:sz w:val="18"/>
                <w:szCs w:val="18"/>
              </w:rPr>
              <w:t>山博创融城</w:t>
            </w:r>
            <w:proofErr w:type="gramEnd"/>
            <w:r w:rsidRPr="007A6E96">
              <w:rPr>
                <w:kern w:val="0"/>
                <w:sz w:val="18"/>
                <w:szCs w:val="18"/>
              </w:rPr>
              <w:t>·</w:t>
            </w:r>
            <w:r w:rsidRPr="007A6E96">
              <w:rPr>
                <w:kern w:val="0"/>
                <w:sz w:val="18"/>
                <w:szCs w:val="18"/>
              </w:rPr>
              <w:t>创智经济产业园建设项目。主要以文化传媒为主，开发建设用于印刷复制、包装装潢、文化旅游商品生产、工艺美术品加工、广告制作等仓储物流配送及相关文化产业用房等。营运后，可实现年产值达</w:t>
            </w:r>
            <w:r w:rsidRPr="007A6E96">
              <w:rPr>
                <w:kern w:val="0"/>
                <w:sz w:val="18"/>
                <w:szCs w:val="18"/>
              </w:rPr>
              <w:t>3</w:t>
            </w:r>
            <w:r w:rsidRPr="007A6E96">
              <w:rPr>
                <w:kern w:val="0"/>
                <w:sz w:val="18"/>
                <w:szCs w:val="18"/>
              </w:rPr>
              <w:t>亿元，年税收不低于</w:t>
            </w:r>
            <w:r w:rsidRPr="007A6E96">
              <w:rPr>
                <w:kern w:val="0"/>
                <w:sz w:val="18"/>
                <w:szCs w:val="18"/>
              </w:rPr>
              <w:t>560</w:t>
            </w:r>
            <w:r w:rsidRPr="007A6E96">
              <w:rPr>
                <w:kern w:val="0"/>
                <w:sz w:val="18"/>
                <w:szCs w:val="18"/>
              </w:rPr>
              <w:t>万元。项目占地约</w:t>
            </w:r>
            <w:r w:rsidRPr="007A6E96">
              <w:rPr>
                <w:kern w:val="0"/>
                <w:sz w:val="18"/>
                <w:szCs w:val="18"/>
              </w:rPr>
              <w:t>112.36</w:t>
            </w:r>
            <w:r w:rsidRPr="007A6E96">
              <w:rPr>
                <w:kern w:val="0"/>
                <w:sz w:val="18"/>
                <w:szCs w:val="18"/>
              </w:rPr>
              <w:t>亩。</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28000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10000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2017.03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2021.03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其它</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5</w:t>
            </w:r>
          </w:p>
        </w:tc>
        <w:tc>
          <w:tcPr>
            <w:tcW w:w="1682"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r w:rsidRPr="007A6E96">
              <w:rPr>
                <w:kern w:val="0"/>
                <w:sz w:val="18"/>
                <w:szCs w:val="18"/>
              </w:rPr>
              <w:t>四川君</w:t>
            </w:r>
            <w:proofErr w:type="gramStart"/>
            <w:r w:rsidRPr="007A6E96">
              <w:rPr>
                <w:kern w:val="0"/>
                <w:sz w:val="18"/>
                <w:szCs w:val="18"/>
              </w:rPr>
              <w:t>祥</w:t>
            </w:r>
            <w:proofErr w:type="gramEnd"/>
            <w:r w:rsidRPr="007A6E96">
              <w:rPr>
                <w:kern w:val="0"/>
                <w:sz w:val="18"/>
                <w:szCs w:val="18"/>
              </w:rPr>
              <w:t>药业</w:t>
            </w:r>
          </w:p>
          <w:p w:rsidR="00767551" w:rsidRPr="007A6E96" w:rsidRDefault="00767551" w:rsidP="007A6E96">
            <w:pPr>
              <w:widowControl/>
              <w:spacing w:line="240" w:lineRule="exact"/>
              <w:jc w:val="center"/>
              <w:rPr>
                <w:kern w:val="0"/>
                <w:sz w:val="18"/>
                <w:szCs w:val="18"/>
              </w:rPr>
            </w:pPr>
            <w:r w:rsidRPr="007A6E96">
              <w:rPr>
                <w:kern w:val="0"/>
                <w:sz w:val="18"/>
                <w:szCs w:val="18"/>
              </w:rPr>
              <w:t>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船山区</w:t>
            </w:r>
            <w:proofErr w:type="gramEnd"/>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君</w:t>
            </w:r>
            <w:proofErr w:type="gramStart"/>
            <w:r w:rsidRPr="007A6E96">
              <w:rPr>
                <w:kern w:val="0"/>
                <w:sz w:val="18"/>
                <w:szCs w:val="18"/>
              </w:rPr>
              <w:t>祥</w:t>
            </w:r>
            <w:proofErr w:type="gramEnd"/>
            <w:r w:rsidRPr="007A6E96">
              <w:rPr>
                <w:kern w:val="0"/>
                <w:sz w:val="18"/>
                <w:szCs w:val="18"/>
              </w:rPr>
              <w:t>精致饮片、颗粒饮片及提取物产业化建设项目。主要从事精制饮片、颗粒饮片及提取物生产线等业务，建设药材库、产品配送中心、产品展示中心、成品库房、质检中心等，营运后，可实现年产值</w:t>
            </w:r>
            <w:r w:rsidRPr="007A6E96">
              <w:rPr>
                <w:kern w:val="0"/>
                <w:sz w:val="18"/>
                <w:szCs w:val="18"/>
              </w:rPr>
              <w:t>2</w:t>
            </w:r>
            <w:r w:rsidRPr="007A6E96">
              <w:rPr>
                <w:kern w:val="0"/>
                <w:sz w:val="18"/>
                <w:szCs w:val="18"/>
              </w:rPr>
              <w:t>亿元以上，年税收不低于</w:t>
            </w:r>
            <w:r w:rsidRPr="007A6E96">
              <w:rPr>
                <w:kern w:val="0"/>
                <w:sz w:val="18"/>
                <w:szCs w:val="18"/>
              </w:rPr>
              <w:t>240</w:t>
            </w:r>
            <w:r w:rsidRPr="007A6E96">
              <w:rPr>
                <w:kern w:val="0"/>
                <w:sz w:val="18"/>
                <w:szCs w:val="18"/>
              </w:rPr>
              <w:t>万元。占地约</w:t>
            </w:r>
            <w:r w:rsidRPr="007A6E96">
              <w:rPr>
                <w:kern w:val="0"/>
                <w:sz w:val="18"/>
                <w:szCs w:val="18"/>
              </w:rPr>
              <w:t>30</w:t>
            </w:r>
            <w:r w:rsidRPr="007A6E96">
              <w:rPr>
                <w:kern w:val="0"/>
                <w:sz w:val="18"/>
                <w:szCs w:val="18"/>
              </w:rPr>
              <w:t>亩。</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10000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5000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2017.04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2018.04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其它</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6</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重庆重客发动机</w:t>
            </w:r>
            <w:proofErr w:type="gramEnd"/>
            <w:r w:rsidRPr="007A6E96">
              <w:rPr>
                <w:kern w:val="0"/>
                <w:sz w:val="18"/>
                <w:szCs w:val="18"/>
              </w:rPr>
              <w:t>技术发展有限公司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安居区</w:t>
            </w:r>
            <w:proofErr w:type="gramEnd"/>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新能源燃气发电机组及实验检测中心建设项目。项目占地</w:t>
            </w:r>
            <w:r w:rsidRPr="007A6E96">
              <w:rPr>
                <w:kern w:val="0"/>
                <w:sz w:val="18"/>
                <w:szCs w:val="18"/>
              </w:rPr>
              <w:t>100</w:t>
            </w:r>
            <w:r w:rsidRPr="007A6E96">
              <w:rPr>
                <w:kern w:val="0"/>
                <w:sz w:val="18"/>
                <w:szCs w:val="18"/>
              </w:rPr>
              <w:t>亩，新建新能源燃气发电机组生产线及西南地区最大的发动机台架实验检测中心，项目建成投产后，可年产各类新能源发电机组</w:t>
            </w:r>
            <w:r w:rsidRPr="007A6E96">
              <w:rPr>
                <w:kern w:val="0"/>
                <w:sz w:val="18"/>
                <w:szCs w:val="18"/>
              </w:rPr>
              <w:t>1000</w:t>
            </w:r>
            <w:r w:rsidRPr="007A6E96">
              <w:rPr>
                <w:kern w:val="0"/>
                <w:sz w:val="18"/>
                <w:szCs w:val="18"/>
              </w:rPr>
              <w:t>台，并进行发动机台架试验检测，可实现年产值达</w:t>
            </w:r>
            <w:r w:rsidRPr="007A6E96">
              <w:rPr>
                <w:kern w:val="0"/>
                <w:sz w:val="18"/>
                <w:szCs w:val="18"/>
              </w:rPr>
              <w:t>2</w:t>
            </w:r>
            <w:r w:rsidRPr="007A6E96">
              <w:rPr>
                <w:kern w:val="0"/>
                <w:sz w:val="18"/>
                <w:szCs w:val="18"/>
              </w:rPr>
              <w:t>亿元以上，可解决就业</w:t>
            </w:r>
            <w:r w:rsidRPr="007A6E96">
              <w:rPr>
                <w:kern w:val="0"/>
                <w:sz w:val="18"/>
                <w:szCs w:val="18"/>
              </w:rPr>
              <w:t>100</w:t>
            </w:r>
            <w:r w:rsidRPr="007A6E96">
              <w:rPr>
                <w:kern w:val="0"/>
                <w:sz w:val="18"/>
                <w:szCs w:val="18"/>
              </w:rPr>
              <w:t>人以上。</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20000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5000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2017.04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2019.12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机械与装备制造</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lastRenderedPageBreak/>
              <w:t>7</w:t>
            </w:r>
          </w:p>
        </w:tc>
        <w:tc>
          <w:tcPr>
            <w:tcW w:w="1682"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proofErr w:type="gramStart"/>
            <w:r w:rsidRPr="007A6E96">
              <w:rPr>
                <w:kern w:val="0"/>
                <w:sz w:val="18"/>
                <w:szCs w:val="18"/>
              </w:rPr>
              <w:t>四川省宏翼纺织</w:t>
            </w:r>
            <w:proofErr w:type="gramEnd"/>
          </w:p>
          <w:p w:rsidR="00767551" w:rsidRPr="007A6E96" w:rsidRDefault="00767551" w:rsidP="007A6E96">
            <w:pPr>
              <w:widowControl/>
              <w:spacing w:line="240" w:lineRule="exact"/>
              <w:jc w:val="center"/>
              <w:rPr>
                <w:kern w:val="0"/>
                <w:sz w:val="18"/>
                <w:szCs w:val="18"/>
              </w:rPr>
            </w:pPr>
            <w:r w:rsidRPr="007A6E96">
              <w:rPr>
                <w:kern w:val="0"/>
                <w:sz w:val="18"/>
                <w:szCs w:val="18"/>
              </w:rPr>
              <w:t>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安居区</w:t>
            </w:r>
            <w:proofErr w:type="gramEnd"/>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五万锭高档涤棉面料纺纱及</w:t>
            </w:r>
            <w:r w:rsidRPr="007A6E96">
              <w:rPr>
                <w:kern w:val="0"/>
                <w:sz w:val="18"/>
                <w:szCs w:val="18"/>
              </w:rPr>
              <w:t>1000</w:t>
            </w:r>
            <w:r w:rsidRPr="007A6E96">
              <w:rPr>
                <w:kern w:val="0"/>
                <w:sz w:val="18"/>
                <w:szCs w:val="18"/>
              </w:rPr>
              <w:t>万米出口面料生产建设项目。购置苏</w:t>
            </w:r>
            <w:proofErr w:type="gramStart"/>
            <w:r w:rsidRPr="007A6E96">
              <w:rPr>
                <w:kern w:val="0"/>
                <w:sz w:val="18"/>
                <w:szCs w:val="18"/>
              </w:rPr>
              <w:t>拉清梳</w:t>
            </w:r>
            <w:proofErr w:type="gramEnd"/>
            <w:r w:rsidRPr="007A6E96">
              <w:rPr>
                <w:kern w:val="0"/>
                <w:sz w:val="18"/>
                <w:szCs w:val="18"/>
              </w:rPr>
              <w:t>联合机</w:t>
            </w:r>
            <w:r w:rsidRPr="007A6E96">
              <w:rPr>
                <w:kern w:val="0"/>
                <w:sz w:val="18"/>
                <w:szCs w:val="18"/>
              </w:rPr>
              <w:t>5</w:t>
            </w:r>
            <w:r w:rsidRPr="007A6E96">
              <w:rPr>
                <w:kern w:val="0"/>
                <w:sz w:val="18"/>
                <w:szCs w:val="18"/>
              </w:rPr>
              <w:t>套（含</w:t>
            </w:r>
            <w:r w:rsidRPr="007A6E96">
              <w:rPr>
                <w:kern w:val="0"/>
                <w:sz w:val="18"/>
                <w:szCs w:val="18"/>
              </w:rPr>
              <w:t>40</w:t>
            </w:r>
            <w:r w:rsidRPr="007A6E96">
              <w:rPr>
                <w:kern w:val="0"/>
                <w:sz w:val="18"/>
                <w:szCs w:val="18"/>
              </w:rPr>
              <w:t>台高产梳棉机）、</w:t>
            </w:r>
            <w:r w:rsidRPr="007A6E96">
              <w:rPr>
                <w:kern w:val="0"/>
                <w:sz w:val="18"/>
                <w:szCs w:val="18"/>
              </w:rPr>
              <w:t>D81</w:t>
            </w:r>
            <w:r w:rsidRPr="007A6E96">
              <w:rPr>
                <w:kern w:val="0"/>
                <w:sz w:val="18"/>
                <w:szCs w:val="18"/>
              </w:rPr>
              <w:t>并条机</w:t>
            </w:r>
            <w:r w:rsidRPr="007A6E96">
              <w:rPr>
                <w:kern w:val="0"/>
                <w:sz w:val="18"/>
                <w:szCs w:val="18"/>
              </w:rPr>
              <w:t>10</w:t>
            </w:r>
            <w:r w:rsidRPr="007A6E96">
              <w:rPr>
                <w:kern w:val="0"/>
                <w:sz w:val="18"/>
                <w:szCs w:val="18"/>
              </w:rPr>
              <w:t>套</w:t>
            </w:r>
            <w:r w:rsidRPr="007A6E96">
              <w:rPr>
                <w:kern w:val="0"/>
                <w:sz w:val="18"/>
                <w:szCs w:val="18"/>
              </w:rPr>
              <w:t>20</w:t>
            </w:r>
            <w:r w:rsidRPr="007A6E96">
              <w:rPr>
                <w:kern w:val="0"/>
                <w:sz w:val="18"/>
                <w:szCs w:val="18"/>
              </w:rPr>
              <w:t>台、</w:t>
            </w:r>
            <w:r w:rsidRPr="007A6E96">
              <w:rPr>
                <w:kern w:val="0"/>
                <w:sz w:val="18"/>
                <w:szCs w:val="18"/>
              </w:rPr>
              <w:t>FA494</w:t>
            </w:r>
            <w:r w:rsidRPr="007A6E96">
              <w:rPr>
                <w:kern w:val="0"/>
                <w:sz w:val="18"/>
                <w:szCs w:val="18"/>
              </w:rPr>
              <w:t>悬锭</w:t>
            </w:r>
            <w:proofErr w:type="gramStart"/>
            <w:r w:rsidRPr="007A6E96">
              <w:rPr>
                <w:kern w:val="0"/>
                <w:sz w:val="18"/>
                <w:szCs w:val="18"/>
              </w:rPr>
              <w:t>粗纱机</w:t>
            </w:r>
            <w:proofErr w:type="gramEnd"/>
            <w:r w:rsidRPr="007A6E96">
              <w:rPr>
                <w:kern w:val="0"/>
                <w:sz w:val="18"/>
                <w:szCs w:val="18"/>
              </w:rPr>
              <w:t>10</w:t>
            </w:r>
            <w:r w:rsidRPr="007A6E96">
              <w:rPr>
                <w:kern w:val="0"/>
                <w:sz w:val="18"/>
                <w:szCs w:val="18"/>
              </w:rPr>
              <w:t>台、</w:t>
            </w:r>
            <w:r w:rsidRPr="007A6E96">
              <w:rPr>
                <w:kern w:val="0"/>
                <w:sz w:val="18"/>
                <w:szCs w:val="18"/>
              </w:rPr>
              <w:t>FA506</w:t>
            </w:r>
            <w:r w:rsidRPr="007A6E96">
              <w:rPr>
                <w:kern w:val="0"/>
                <w:sz w:val="18"/>
                <w:szCs w:val="18"/>
              </w:rPr>
              <w:t>（</w:t>
            </w:r>
            <w:r w:rsidRPr="007A6E96">
              <w:rPr>
                <w:kern w:val="0"/>
                <w:sz w:val="18"/>
                <w:szCs w:val="18"/>
              </w:rPr>
              <w:t>FA507</w:t>
            </w:r>
            <w:r w:rsidRPr="007A6E96">
              <w:rPr>
                <w:kern w:val="0"/>
                <w:sz w:val="18"/>
                <w:szCs w:val="18"/>
              </w:rPr>
              <w:t>）细纱机（</w:t>
            </w:r>
            <w:r w:rsidRPr="007A6E96">
              <w:rPr>
                <w:kern w:val="0"/>
                <w:sz w:val="18"/>
                <w:szCs w:val="18"/>
              </w:rPr>
              <w:t>456</w:t>
            </w:r>
            <w:r w:rsidRPr="007A6E96">
              <w:rPr>
                <w:kern w:val="0"/>
                <w:sz w:val="18"/>
                <w:szCs w:val="18"/>
              </w:rPr>
              <w:t>锭）</w:t>
            </w:r>
            <w:r w:rsidRPr="007A6E96">
              <w:rPr>
                <w:kern w:val="0"/>
                <w:sz w:val="18"/>
                <w:szCs w:val="18"/>
              </w:rPr>
              <w:t>106</w:t>
            </w:r>
            <w:r w:rsidRPr="007A6E96">
              <w:rPr>
                <w:kern w:val="0"/>
                <w:sz w:val="18"/>
                <w:szCs w:val="18"/>
              </w:rPr>
              <w:t>台、青岛宏大</w:t>
            </w:r>
            <w:proofErr w:type="gramStart"/>
            <w:r w:rsidRPr="007A6E96">
              <w:rPr>
                <w:kern w:val="0"/>
                <w:sz w:val="18"/>
                <w:szCs w:val="18"/>
              </w:rPr>
              <w:t>萨</w:t>
            </w:r>
            <w:proofErr w:type="gramEnd"/>
            <w:r w:rsidRPr="007A6E96">
              <w:rPr>
                <w:kern w:val="0"/>
                <w:sz w:val="18"/>
                <w:szCs w:val="18"/>
              </w:rPr>
              <w:t>维奥</w:t>
            </w:r>
            <w:r w:rsidRPr="007A6E96">
              <w:rPr>
                <w:kern w:val="0"/>
                <w:sz w:val="18"/>
                <w:szCs w:val="18"/>
              </w:rPr>
              <w:t>SMARO</w:t>
            </w:r>
            <w:r w:rsidRPr="007A6E96">
              <w:rPr>
                <w:kern w:val="0"/>
                <w:sz w:val="18"/>
                <w:szCs w:val="18"/>
              </w:rPr>
              <w:t>－</w:t>
            </w:r>
            <w:r w:rsidRPr="007A6E96">
              <w:rPr>
                <w:kern w:val="0"/>
                <w:sz w:val="18"/>
                <w:szCs w:val="18"/>
              </w:rPr>
              <w:t>NEW</w:t>
            </w:r>
            <w:r w:rsidRPr="007A6E96">
              <w:rPr>
                <w:kern w:val="0"/>
                <w:sz w:val="18"/>
                <w:szCs w:val="18"/>
              </w:rPr>
              <w:t>全自动络筒机</w:t>
            </w:r>
            <w:r w:rsidRPr="007A6E96">
              <w:rPr>
                <w:kern w:val="0"/>
                <w:sz w:val="18"/>
                <w:szCs w:val="18"/>
              </w:rPr>
              <w:t>10</w:t>
            </w:r>
            <w:r w:rsidRPr="007A6E96">
              <w:rPr>
                <w:kern w:val="0"/>
                <w:sz w:val="18"/>
                <w:szCs w:val="18"/>
              </w:rPr>
              <w:t>台、泰坦新型气流纺机</w:t>
            </w:r>
            <w:r w:rsidRPr="007A6E96">
              <w:rPr>
                <w:kern w:val="0"/>
                <w:sz w:val="18"/>
                <w:szCs w:val="18"/>
              </w:rPr>
              <w:t>4</w:t>
            </w:r>
            <w:r w:rsidRPr="007A6E96">
              <w:rPr>
                <w:kern w:val="0"/>
                <w:sz w:val="18"/>
                <w:szCs w:val="18"/>
              </w:rPr>
              <w:t>台，购买先进的整经、浆纱设备、新添置国外新型喷气织机</w:t>
            </w:r>
            <w:r w:rsidRPr="007A6E96">
              <w:rPr>
                <w:kern w:val="0"/>
                <w:sz w:val="18"/>
                <w:szCs w:val="18"/>
              </w:rPr>
              <w:t>200</w:t>
            </w:r>
            <w:r w:rsidRPr="007A6E96">
              <w:rPr>
                <w:kern w:val="0"/>
                <w:sz w:val="18"/>
                <w:szCs w:val="18"/>
              </w:rPr>
              <w:t>台，同时配套建设辅助、公用、环保、消防、绿化等附属设施。建成后形成年产</w:t>
            </w:r>
            <w:r w:rsidRPr="007A6E96">
              <w:rPr>
                <w:kern w:val="0"/>
                <w:sz w:val="18"/>
                <w:szCs w:val="18"/>
              </w:rPr>
              <w:t>1000</w:t>
            </w:r>
            <w:r w:rsidRPr="007A6E96">
              <w:rPr>
                <w:kern w:val="0"/>
                <w:sz w:val="18"/>
                <w:szCs w:val="18"/>
              </w:rPr>
              <w:t>万米面料生产能力。</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35000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15000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2017.02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2018.10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纺织服装</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8</w:t>
            </w:r>
          </w:p>
        </w:tc>
        <w:tc>
          <w:tcPr>
            <w:tcW w:w="1682"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r w:rsidRPr="007A6E96">
              <w:rPr>
                <w:kern w:val="0"/>
                <w:sz w:val="18"/>
                <w:szCs w:val="18"/>
              </w:rPr>
              <w:t>四川力扬工业</w:t>
            </w:r>
          </w:p>
          <w:p w:rsidR="00767551" w:rsidRPr="007A6E96" w:rsidRDefault="00767551" w:rsidP="007A6E96">
            <w:pPr>
              <w:widowControl/>
              <w:spacing w:line="240" w:lineRule="exact"/>
              <w:jc w:val="center"/>
              <w:rPr>
                <w:kern w:val="0"/>
                <w:sz w:val="18"/>
                <w:szCs w:val="18"/>
              </w:rPr>
            </w:pPr>
            <w:r w:rsidRPr="007A6E96">
              <w:rPr>
                <w:kern w:val="0"/>
                <w:sz w:val="18"/>
                <w:szCs w:val="18"/>
              </w:rPr>
              <w:t>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安居区</w:t>
            </w:r>
            <w:proofErr w:type="gramEnd"/>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力扬</w:t>
            </w:r>
            <w:proofErr w:type="gramStart"/>
            <w:r w:rsidRPr="007A6E96">
              <w:rPr>
                <w:kern w:val="0"/>
                <w:sz w:val="18"/>
                <w:szCs w:val="18"/>
              </w:rPr>
              <w:t>工业铅碳蓄电池</w:t>
            </w:r>
            <w:proofErr w:type="gramEnd"/>
            <w:r w:rsidRPr="007A6E96">
              <w:rPr>
                <w:kern w:val="0"/>
                <w:sz w:val="18"/>
                <w:szCs w:val="18"/>
              </w:rPr>
              <w:t>生产线建设项目。新建厂房</w:t>
            </w:r>
            <w:r w:rsidRPr="007A6E96">
              <w:rPr>
                <w:kern w:val="0"/>
                <w:sz w:val="18"/>
                <w:szCs w:val="18"/>
              </w:rPr>
              <w:t>10000</w:t>
            </w:r>
            <w:r w:rsidRPr="007A6E96">
              <w:rPr>
                <w:kern w:val="0"/>
                <w:sz w:val="18"/>
                <w:szCs w:val="18"/>
              </w:rPr>
              <w:t>平方米，新建</w:t>
            </w:r>
            <w:proofErr w:type="gramStart"/>
            <w:r w:rsidRPr="007A6E96">
              <w:rPr>
                <w:kern w:val="0"/>
                <w:sz w:val="18"/>
                <w:szCs w:val="18"/>
              </w:rPr>
              <w:t>10</w:t>
            </w:r>
            <w:r w:rsidRPr="007A6E96">
              <w:rPr>
                <w:kern w:val="0"/>
                <w:sz w:val="18"/>
                <w:szCs w:val="18"/>
              </w:rPr>
              <w:t>条碳铅电池</w:t>
            </w:r>
            <w:proofErr w:type="gramEnd"/>
            <w:r w:rsidRPr="007A6E96">
              <w:rPr>
                <w:kern w:val="0"/>
                <w:sz w:val="18"/>
                <w:szCs w:val="18"/>
              </w:rPr>
              <w:t>生产线。</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20000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10000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2017.06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2018.06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机械与装备制造</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9</w:t>
            </w:r>
          </w:p>
        </w:tc>
        <w:tc>
          <w:tcPr>
            <w:tcW w:w="1682" w:type="dxa"/>
            <w:tcBorders>
              <w:top w:val="single" w:sz="4" w:space="0" w:color="auto"/>
              <w:left w:val="nil"/>
              <w:bottom w:val="single" w:sz="4" w:space="0" w:color="auto"/>
              <w:right w:val="single" w:sz="4" w:space="0" w:color="auto"/>
            </w:tcBorders>
            <w:vAlign w:val="center"/>
          </w:tcPr>
          <w:p w:rsidR="007A6E96" w:rsidRDefault="00767551" w:rsidP="007A6E96">
            <w:pPr>
              <w:widowControl/>
              <w:spacing w:line="240" w:lineRule="exact"/>
              <w:jc w:val="center"/>
              <w:rPr>
                <w:rFonts w:hint="eastAsia"/>
                <w:kern w:val="0"/>
                <w:sz w:val="18"/>
                <w:szCs w:val="18"/>
              </w:rPr>
            </w:pPr>
            <w:r w:rsidRPr="007A6E96">
              <w:rPr>
                <w:kern w:val="0"/>
                <w:sz w:val="18"/>
                <w:szCs w:val="18"/>
              </w:rPr>
              <w:t>四川</w:t>
            </w:r>
            <w:proofErr w:type="gramStart"/>
            <w:r w:rsidRPr="007A6E96">
              <w:rPr>
                <w:kern w:val="0"/>
                <w:sz w:val="18"/>
                <w:szCs w:val="18"/>
              </w:rPr>
              <w:t>讴</w:t>
            </w:r>
            <w:proofErr w:type="gramEnd"/>
            <w:r w:rsidRPr="007A6E96">
              <w:rPr>
                <w:kern w:val="0"/>
                <w:sz w:val="18"/>
                <w:szCs w:val="18"/>
              </w:rPr>
              <w:t>神机械</w:t>
            </w:r>
          </w:p>
          <w:p w:rsidR="00767551" w:rsidRPr="007A6E96" w:rsidRDefault="00767551" w:rsidP="007A6E96">
            <w:pPr>
              <w:widowControl/>
              <w:spacing w:line="240" w:lineRule="exact"/>
              <w:jc w:val="center"/>
              <w:rPr>
                <w:kern w:val="0"/>
                <w:sz w:val="18"/>
                <w:szCs w:val="18"/>
              </w:rPr>
            </w:pPr>
            <w:r w:rsidRPr="007A6E96">
              <w:rPr>
                <w:kern w:val="0"/>
                <w:sz w:val="18"/>
                <w:szCs w:val="18"/>
              </w:rPr>
              <w:t>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安居区</w:t>
            </w:r>
            <w:proofErr w:type="gramEnd"/>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年产</w:t>
            </w:r>
            <w:r w:rsidRPr="007A6E96">
              <w:rPr>
                <w:kern w:val="0"/>
                <w:sz w:val="18"/>
                <w:szCs w:val="18"/>
              </w:rPr>
              <w:t>3</w:t>
            </w:r>
            <w:r w:rsidRPr="007A6E96">
              <w:rPr>
                <w:kern w:val="0"/>
                <w:sz w:val="18"/>
                <w:szCs w:val="18"/>
              </w:rPr>
              <w:t>万套商用车驾驶室及附件生产项目。新建二期仓库厂房</w:t>
            </w:r>
            <w:r w:rsidRPr="007A6E96">
              <w:rPr>
                <w:kern w:val="0"/>
                <w:sz w:val="18"/>
                <w:szCs w:val="18"/>
              </w:rPr>
              <w:t>3</w:t>
            </w:r>
            <w:r w:rsidRPr="007A6E96">
              <w:rPr>
                <w:kern w:val="0"/>
                <w:sz w:val="18"/>
                <w:szCs w:val="18"/>
              </w:rPr>
              <w:t>万平方米（厂房仓库共用）用于新建汽车商用车驾驶室及车身焊装线两条，具备</w:t>
            </w:r>
            <w:r w:rsidRPr="007A6E96">
              <w:rPr>
                <w:kern w:val="0"/>
                <w:sz w:val="18"/>
                <w:szCs w:val="18"/>
              </w:rPr>
              <w:t>7</w:t>
            </w:r>
            <w:r w:rsidRPr="007A6E96">
              <w:rPr>
                <w:kern w:val="0"/>
                <w:sz w:val="18"/>
                <w:szCs w:val="18"/>
              </w:rPr>
              <w:t>万套生产能力。</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5000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2017.06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2018.06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机械与装备制造</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10</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四川福多纳汽车部件有限公司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proofErr w:type="gramStart"/>
            <w:r w:rsidRPr="007A6E96">
              <w:rPr>
                <w:kern w:val="0"/>
                <w:sz w:val="18"/>
                <w:szCs w:val="18"/>
              </w:rPr>
              <w:t>安居区</w:t>
            </w:r>
            <w:proofErr w:type="gramEnd"/>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福多纳自动生产线建设项目。冲压、涂装生产线扩能建设，购置机器人新建</w:t>
            </w:r>
            <w:r w:rsidRPr="007A6E96">
              <w:rPr>
                <w:kern w:val="0"/>
                <w:sz w:val="18"/>
                <w:szCs w:val="18"/>
              </w:rPr>
              <w:t>2</w:t>
            </w:r>
            <w:r w:rsidRPr="007A6E96">
              <w:rPr>
                <w:kern w:val="0"/>
                <w:sz w:val="18"/>
                <w:szCs w:val="18"/>
              </w:rPr>
              <w:t>条自动生产线。</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2017.03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2017.08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机械与装备制造</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11</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四川蜀泰化工科技有限公司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大英县</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年产</w:t>
            </w:r>
            <w:r w:rsidRPr="007A6E96">
              <w:rPr>
                <w:kern w:val="0"/>
                <w:sz w:val="18"/>
                <w:szCs w:val="18"/>
              </w:rPr>
              <w:t>1400</w:t>
            </w:r>
            <w:r w:rsidRPr="007A6E96">
              <w:rPr>
                <w:kern w:val="0"/>
                <w:sz w:val="18"/>
                <w:szCs w:val="18"/>
              </w:rPr>
              <w:t>吨催化剂新材料建设项目。新增土地</w:t>
            </w:r>
            <w:r w:rsidRPr="007A6E96">
              <w:rPr>
                <w:kern w:val="0"/>
                <w:sz w:val="18"/>
                <w:szCs w:val="18"/>
              </w:rPr>
              <w:t>150</w:t>
            </w:r>
            <w:r w:rsidRPr="007A6E96">
              <w:rPr>
                <w:kern w:val="0"/>
                <w:sz w:val="18"/>
                <w:szCs w:val="18"/>
              </w:rPr>
              <w:t>亩。新建厂房</w:t>
            </w:r>
            <w:proofErr w:type="gramStart"/>
            <w:r w:rsidRPr="007A6E96">
              <w:rPr>
                <w:kern w:val="0"/>
                <w:sz w:val="18"/>
                <w:szCs w:val="18"/>
              </w:rPr>
              <w:t>及辅房</w:t>
            </w:r>
            <w:r w:rsidRPr="007A6E96">
              <w:rPr>
                <w:kern w:val="0"/>
                <w:sz w:val="18"/>
                <w:szCs w:val="18"/>
              </w:rPr>
              <w:t>8558</w:t>
            </w:r>
            <w:r w:rsidRPr="007A6E96">
              <w:rPr>
                <w:kern w:val="0"/>
                <w:sz w:val="18"/>
                <w:szCs w:val="18"/>
              </w:rPr>
              <w:t>平方米</w:t>
            </w:r>
            <w:proofErr w:type="gramEnd"/>
            <w:r w:rsidRPr="007A6E96">
              <w:rPr>
                <w:kern w:val="0"/>
                <w:sz w:val="18"/>
                <w:szCs w:val="18"/>
              </w:rPr>
              <w:t>，采用企业自主研发的多项研发技术，项目以纳米氧化铝为基本原料，建设高温纳米</w:t>
            </w:r>
            <w:r w:rsidRPr="007A6E96">
              <w:rPr>
                <w:kern w:val="0"/>
                <w:sz w:val="18"/>
                <w:szCs w:val="18"/>
              </w:rPr>
              <w:t>α</w:t>
            </w:r>
            <w:r w:rsidRPr="007A6E96">
              <w:rPr>
                <w:kern w:val="0"/>
                <w:sz w:val="18"/>
                <w:szCs w:val="18"/>
              </w:rPr>
              <w:t>载体生产线，在传统脱毒催化剂基础上对其工艺进行改进，降低产品生产成本，提高产品脱毒效率，新建立脱毒剂生产线。</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15500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6700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2017.04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2018.12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精细化工</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12</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四川省兴茂石化有限责任公司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大英县</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15</w:t>
            </w:r>
            <w:r w:rsidRPr="007A6E96">
              <w:rPr>
                <w:kern w:val="0"/>
                <w:sz w:val="18"/>
                <w:szCs w:val="18"/>
              </w:rPr>
              <w:t>万吨</w:t>
            </w:r>
            <w:r w:rsidRPr="007A6E96">
              <w:rPr>
                <w:kern w:val="0"/>
                <w:sz w:val="18"/>
                <w:szCs w:val="18"/>
              </w:rPr>
              <w:t>/</w:t>
            </w:r>
            <w:r w:rsidRPr="007A6E96">
              <w:rPr>
                <w:kern w:val="0"/>
                <w:sz w:val="18"/>
                <w:szCs w:val="18"/>
              </w:rPr>
              <w:t>年废油绿色再生二三类基础油项目。项目新增用地</w:t>
            </w:r>
            <w:r w:rsidRPr="007A6E96">
              <w:rPr>
                <w:kern w:val="0"/>
                <w:sz w:val="18"/>
                <w:szCs w:val="18"/>
              </w:rPr>
              <w:t>300</w:t>
            </w:r>
            <w:r w:rsidRPr="007A6E96">
              <w:rPr>
                <w:kern w:val="0"/>
                <w:sz w:val="18"/>
                <w:szCs w:val="18"/>
              </w:rPr>
              <w:t>亩，建原料预处理装置（原料预处理、分子蒸馏系统），加氢精制装置（反应、分流），制氢装置（甲醇转化制氢、变压吸附</w:t>
            </w:r>
            <w:proofErr w:type="gramStart"/>
            <w:r w:rsidRPr="007A6E96">
              <w:rPr>
                <w:kern w:val="0"/>
                <w:sz w:val="18"/>
                <w:szCs w:val="18"/>
              </w:rPr>
              <w:t>氢提醇</w:t>
            </w:r>
            <w:proofErr w:type="gramEnd"/>
            <w:r w:rsidRPr="007A6E96">
              <w:rPr>
                <w:kern w:val="0"/>
                <w:sz w:val="18"/>
                <w:szCs w:val="18"/>
              </w:rPr>
              <w:t>）。</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60000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20000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2017.06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2018.12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精细化工</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13</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四川双佳石油化工能源有限公司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大英县</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废矿物油处理装置迁扩建项目。项目新征土地</w:t>
            </w:r>
            <w:r w:rsidRPr="007A6E96">
              <w:rPr>
                <w:kern w:val="0"/>
                <w:sz w:val="18"/>
                <w:szCs w:val="18"/>
              </w:rPr>
              <w:t>100</w:t>
            </w:r>
            <w:r w:rsidRPr="007A6E96">
              <w:rPr>
                <w:kern w:val="0"/>
                <w:sz w:val="18"/>
                <w:szCs w:val="18"/>
              </w:rPr>
              <w:t>亩，建设厂房</w:t>
            </w:r>
            <w:proofErr w:type="gramStart"/>
            <w:r w:rsidRPr="007A6E96">
              <w:rPr>
                <w:kern w:val="0"/>
                <w:sz w:val="18"/>
                <w:szCs w:val="18"/>
              </w:rPr>
              <w:t>及辅房</w:t>
            </w:r>
            <w:r w:rsidRPr="007A6E96">
              <w:rPr>
                <w:kern w:val="0"/>
                <w:sz w:val="18"/>
                <w:szCs w:val="18"/>
              </w:rPr>
              <w:t>99620</w:t>
            </w:r>
            <w:r w:rsidRPr="007A6E96">
              <w:rPr>
                <w:kern w:val="0"/>
                <w:sz w:val="18"/>
                <w:szCs w:val="18"/>
              </w:rPr>
              <w:t>平方米</w:t>
            </w:r>
            <w:proofErr w:type="gramEnd"/>
            <w:r w:rsidRPr="007A6E96">
              <w:rPr>
                <w:kern w:val="0"/>
                <w:sz w:val="18"/>
                <w:szCs w:val="18"/>
              </w:rPr>
              <w:t>、废矿物油预处理车间、废矿物油分馏车间、制蜡车间、污水处理车间、</w:t>
            </w:r>
            <w:r w:rsidRPr="007A6E96">
              <w:rPr>
                <w:kern w:val="0"/>
                <w:sz w:val="18"/>
                <w:szCs w:val="18"/>
              </w:rPr>
              <w:t>20</w:t>
            </w:r>
            <w:r w:rsidRPr="007A6E96">
              <w:rPr>
                <w:kern w:val="0"/>
                <w:sz w:val="18"/>
                <w:szCs w:val="18"/>
              </w:rPr>
              <w:t>个</w:t>
            </w:r>
            <w:proofErr w:type="gramStart"/>
            <w:r w:rsidRPr="007A6E96">
              <w:rPr>
                <w:kern w:val="0"/>
                <w:sz w:val="18"/>
                <w:szCs w:val="18"/>
              </w:rPr>
              <w:t>贮存罐计</w:t>
            </w:r>
            <w:r w:rsidRPr="007A6E96">
              <w:rPr>
                <w:kern w:val="0"/>
                <w:sz w:val="18"/>
                <w:szCs w:val="18"/>
              </w:rPr>
              <w:t>3</w:t>
            </w:r>
            <w:r w:rsidRPr="007A6E96">
              <w:rPr>
                <w:kern w:val="0"/>
                <w:sz w:val="18"/>
                <w:szCs w:val="18"/>
              </w:rPr>
              <w:t>万立方米</w:t>
            </w:r>
            <w:proofErr w:type="gramEnd"/>
            <w:r w:rsidRPr="007A6E96">
              <w:rPr>
                <w:kern w:val="0"/>
                <w:sz w:val="18"/>
                <w:szCs w:val="18"/>
              </w:rPr>
              <w:t>等设施设备</w:t>
            </w:r>
            <w:r w:rsidRPr="007A6E96">
              <w:rPr>
                <w:kern w:val="0"/>
                <w:sz w:val="18"/>
                <w:szCs w:val="18"/>
              </w:rPr>
              <w:t>98</w:t>
            </w:r>
            <w:r w:rsidRPr="007A6E96">
              <w:rPr>
                <w:kern w:val="0"/>
                <w:sz w:val="18"/>
                <w:szCs w:val="18"/>
              </w:rPr>
              <w:t>台套。</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55000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15000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2017.06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2018.10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精细化工</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14</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四川之江高新材料股份有限公司</w:t>
            </w:r>
          </w:p>
        </w:tc>
        <w:tc>
          <w:tcPr>
            <w:tcW w:w="819"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蓬溪县</w:t>
            </w:r>
          </w:p>
        </w:tc>
        <w:tc>
          <w:tcPr>
            <w:tcW w:w="5677"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蓬溪之江新材料加氢车间建设项目。占地</w:t>
            </w:r>
            <w:r w:rsidRPr="007A6E96">
              <w:rPr>
                <w:kern w:val="0"/>
                <w:sz w:val="18"/>
                <w:szCs w:val="18"/>
              </w:rPr>
              <w:t>30</w:t>
            </w:r>
            <w:r w:rsidRPr="007A6E96">
              <w:rPr>
                <w:kern w:val="0"/>
                <w:sz w:val="18"/>
                <w:szCs w:val="18"/>
              </w:rPr>
              <w:t>亩，建设加氢车间</w:t>
            </w:r>
            <w:r w:rsidRPr="007A6E96">
              <w:rPr>
                <w:kern w:val="0"/>
                <w:sz w:val="18"/>
                <w:szCs w:val="18"/>
              </w:rPr>
              <w:t>3800</w:t>
            </w:r>
            <w:r w:rsidRPr="007A6E96">
              <w:rPr>
                <w:kern w:val="0"/>
                <w:sz w:val="18"/>
                <w:szCs w:val="18"/>
              </w:rPr>
              <w:t>平方米以及相关配套设施，购置生产设备</w:t>
            </w:r>
            <w:r w:rsidRPr="007A6E96">
              <w:rPr>
                <w:kern w:val="0"/>
                <w:sz w:val="18"/>
                <w:szCs w:val="18"/>
              </w:rPr>
              <w:t>23</w:t>
            </w:r>
            <w:r w:rsidRPr="007A6E96">
              <w:rPr>
                <w:kern w:val="0"/>
                <w:sz w:val="18"/>
                <w:szCs w:val="18"/>
              </w:rPr>
              <w:t>台（套），建成后实现年产加氢</w:t>
            </w:r>
            <w:r w:rsidRPr="007A6E96">
              <w:rPr>
                <w:kern w:val="0"/>
                <w:sz w:val="18"/>
                <w:szCs w:val="18"/>
              </w:rPr>
              <w:t>2000</w:t>
            </w:r>
            <w:r w:rsidRPr="007A6E96">
              <w:rPr>
                <w:kern w:val="0"/>
                <w:sz w:val="18"/>
                <w:szCs w:val="18"/>
              </w:rPr>
              <w:t>吨。</w:t>
            </w:r>
          </w:p>
        </w:tc>
        <w:tc>
          <w:tcPr>
            <w:tcW w:w="945"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3400</w:t>
            </w:r>
          </w:p>
        </w:tc>
        <w:tc>
          <w:tcPr>
            <w:tcW w:w="1050"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3400</w:t>
            </w:r>
          </w:p>
        </w:tc>
        <w:tc>
          <w:tcPr>
            <w:tcW w:w="945"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2017.05 </w:t>
            </w:r>
          </w:p>
        </w:tc>
        <w:tc>
          <w:tcPr>
            <w:tcW w:w="945"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2017.12 </w:t>
            </w:r>
          </w:p>
        </w:tc>
        <w:tc>
          <w:tcPr>
            <w:tcW w:w="1101" w:type="dxa"/>
            <w:tcBorders>
              <w:top w:val="single" w:sz="4" w:space="0" w:color="auto"/>
              <w:left w:val="single" w:sz="4" w:space="0" w:color="auto"/>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精细化工</w:t>
            </w:r>
          </w:p>
        </w:tc>
      </w:tr>
      <w:tr w:rsidR="00767551" w:rsidRPr="007A6E96" w:rsidTr="007A6E96">
        <w:tc>
          <w:tcPr>
            <w:tcW w:w="462" w:type="dxa"/>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15</w:t>
            </w:r>
          </w:p>
        </w:tc>
        <w:tc>
          <w:tcPr>
            <w:tcW w:w="1682"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四川发川石化装备有限公司</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射洪县</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proofErr w:type="gramStart"/>
            <w:r w:rsidRPr="007A6E96">
              <w:rPr>
                <w:kern w:val="0"/>
                <w:sz w:val="18"/>
                <w:szCs w:val="18"/>
              </w:rPr>
              <w:t>发川石化</w:t>
            </w:r>
            <w:proofErr w:type="gramEnd"/>
            <w:r w:rsidRPr="007A6E96">
              <w:rPr>
                <w:kern w:val="0"/>
                <w:sz w:val="18"/>
                <w:szCs w:val="18"/>
              </w:rPr>
              <w:t>项目。建设内有</w:t>
            </w:r>
            <w:r w:rsidRPr="007A6E96">
              <w:rPr>
                <w:kern w:val="0"/>
                <w:sz w:val="18"/>
                <w:szCs w:val="18"/>
              </w:rPr>
              <w:t>LPG</w:t>
            </w:r>
            <w:r w:rsidRPr="007A6E96">
              <w:rPr>
                <w:kern w:val="0"/>
                <w:sz w:val="18"/>
                <w:szCs w:val="18"/>
              </w:rPr>
              <w:t>气瓶生产线、</w:t>
            </w:r>
            <w:r w:rsidRPr="007A6E96">
              <w:rPr>
                <w:kern w:val="0"/>
                <w:sz w:val="18"/>
                <w:szCs w:val="18"/>
              </w:rPr>
              <w:t>SCB</w:t>
            </w:r>
            <w:r w:rsidRPr="007A6E96">
              <w:rPr>
                <w:kern w:val="0"/>
                <w:sz w:val="18"/>
                <w:szCs w:val="18"/>
              </w:rPr>
              <w:t>呼吸气瓶及内胆生产线、</w:t>
            </w:r>
            <w:r w:rsidRPr="007A6E96">
              <w:rPr>
                <w:kern w:val="0"/>
                <w:sz w:val="18"/>
                <w:szCs w:val="18"/>
              </w:rPr>
              <w:t>CWG-Ⅲ</w:t>
            </w:r>
            <w:r w:rsidRPr="007A6E96">
              <w:rPr>
                <w:kern w:val="0"/>
                <w:sz w:val="18"/>
                <w:szCs w:val="18"/>
              </w:rPr>
              <w:t>氢气瓶生产线、试验检测中心的厂房。</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16000</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6000</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2017.03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 xml:space="preserve">2018.06 </w:t>
            </w:r>
          </w:p>
        </w:tc>
        <w:tc>
          <w:tcPr>
            <w:tcW w:w="1101"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机械与装备制造</w:t>
            </w:r>
          </w:p>
        </w:tc>
      </w:tr>
      <w:tr w:rsidR="00767551" w:rsidRPr="007A6E96" w:rsidTr="007A6E96">
        <w:tc>
          <w:tcPr>
            <w:tcW w:w="2144" w:type="dxa"/>
            <w:gridSpan w:val="2"/>
            <w:tcBorders>
              <w:top w:val="nil"/>
              <w:left w:val="single" w:sz="4" w:space="0" w:color="auto"/>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合计</w:t>
            </w:r>
          </w:p>
        </w:tc>
        <w:tc>
          <w:tcPr>
            <w:tcW w:w="819"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jc w:val="center"/>
              <w:rPr>
                <w:kern w:val="0"/>
                <w:sz w:val="18"/>
                <w:szCs w:val="18"/>
              </w:rPr>
            </w:pPr>
            <w:r w:rsidRPr="007A6E96">
              <w:rPr>
                <w:kern w:val="0"/>
                <w:sz w:val="18"/>
                <w:szCs w:val="18"/>
              </w:rPr>
              <w:t xml:space="preserve">　</w:t>
            </w:r>
          </w:p>
        </w:tc>
        <w:tc>
          <w:tcPr>
            <w:tcW w:w="5677" w:type="dxa"/>
            <w:tcBorders>
              <w:top w:val="single" w:sz="4" w:space="0" w:color="auto"/>
              <w:left w:val="nil"/>
              <w:bottom w:val="single" w:sz="4" w:space="0" w:color="auto"/>
              <w:right w:val="single" w:sz="4" w:space="0" w:color="auto"/>
            </w:tcBorders>
            <w:vAlign w:val="center"/>
          </w:tcPr>
          <w:p w:rsidR="00767551" w:rsidRPr="007A6E96" w:rsidRDefault="00767551" w:rsidP="007A6E96">
            <w:pPr>
              <w:widowControl/>
              <w:spacing w:line="240" w:lineRule="exact"/>
              <w:rPr>
                <w:kern w:val="0"/>
                <w:sz w:val="18"/>
                <w:szCs w:val="18"/>
              </w:rPr>
            </w:pPr>
            <w:r w:rsidRPr="007A6E96">
              <w:rPr>
                <w:kern w:val="0"/>
                <w:sz w:val="18"/>
                <w:szCs w:val="18"/>
              </w:rPr>
              <w:t xml:space="preserve">　</w:t>
            </w:r>
          </w:p>
        </w:tc>
        <w:tc>
          <w:tcPr>
            <w:tcW w:w="945"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391913</w:t>
            </w:r>
          </w:p>
        </w:tc>
        <w:tc>
          <w:tcPr>
            <w:tcW w:w="1050" w:type="dxa"/>
            <w:tcBorders>
              <w:top w:val="single" w:sz="4" w:space="0" w:color="auto"/>
              <w:left w:val="nil"/>
              <w:bottom w:val="single" w:sz="4" w:space="0" w:color="auto"/>
              <w:right w:val="single" w:sz="4" w:space="0" w:color="auto"/>
            </w:tcBorders>
            <w:vAlign w:val="center"/>
          </w:tcPr>
          <w:p w:rsidR="00767551" w:rsidRPr="007A6E96" w:rsidRDefault="00767551" w:rsidP="007A6E96">
            <w:pPr>
              <w:spacing w:line="240" w:lineRule="exact"/>
              <w:jc w:val="center"/>
              <w:rPr>
                <w:kern w:val="0"/>
                <w:sz w:val="18"/>
                <w:szCs w:val="18"/>
              </w:rPr>
            </w:pPr>
            <w:r w:rsidRPr="007A6E96">
              <w:rPr>
                <w:kern w:val="0"/>
                <w:sz w:val="18"/>
                <w:szCs w:val="18"/>
              </w:rPr>
              <w:t>149960</w:t>
            </w:r>
          </w:p>
        </w:tc>
        <w:tc>
          <w:tcPr>
            <w:tcW w:w="945" w:type="dxa"/>
            <w:tcBorders>
              <w:top w:val="single" w:sz="4" w:space="0" w:color="auto"/>
              <w:left w:val="nil"/>
              <w:bottom w:val="single" w:sz="4" w:space="0" w:color="auto"/>
              <w:right w:val="single" w:sz="4" w:space="0" w:color="auto"/>
            </w:tcBorders>
            <w:vAlign w:val="bottom"/>
          </w:tcPr>
          <w:p w:rsidR="00767551" w:rsidRPr="007A6E96" w:rsidRDefault="00767551" w:rsidP="007A6E96">
            <w:pPr>
              <w:widowControl/>
              <w:spacing w:line="240" w:lineRule="exact"/>
              <w:jc w:val="left"/>
              <w:rPr>
                <w:kern w:val="0"/>
                <w:sz w:val="18"/>
                <w:szCs w:val="18"/>
              </w:rPr>
            </w:pPr>
            <w:r w:rsidRPr="007A6E96">
              <w:rPr>
                <w:kern w:val="0"/>
                <w:sz w:val="18"/>
                <w:szCs w:val="18"/>
              </w:rPr>
              <w:t xml:space="preserve">　</w:t>
            </w:r>
          </w:p>
        </w:tc>
        <w:tc>
          <w:tcPr>
            <w:tcW w:w="945" w:type="dxa"/>
            <w:tcBorders>
              <w:top w:val="single" w:sz="4" w:space="0" w:color="auto"/>
              <w:left w:val="nil"/>
              <w:bottom w:val="single" w:sz="4" w:space="0" w:color="auto"/>
              <w:right w:val="single" w:sz="4" w:space="0" w:color="auto"/>
            </w:tcBorders>
            <w:vAlign w:val="bottom"/>
          </w:tcPr>
          <w:p w:rsidR="00767551" w:rsidRPr="007A6E96" w:rsidRDefault="00767551" w:rsidP="007A6E96">
            <w:pPr>
              <w:widowControl/>
              <w:spacing w:line="240" w:lineRule="exact"/>
              <w:jc w:val="left"/>
              <w:rPr>
                <w:kern w:val="0"/>
                <w:sz w:val="18"/>
                <w:szCs w:val="18"/>
              </w:rPr>
            </w:pPr>
            <w:r w:rsidRPr="007A6E96">
              <w:rPr>
                <w:kern w:val="0"/>
                <w:sz w:val="18"/>
                <w:szCs w:val="18"/>
              </w:rPr>
              <w:t xml:space="preserve">　</w:t>
            </w:r>
          </w:p>
        </w:tc>
        <w:tc>
          <w:tcPr>
            <w:tcW w:w="1101" w:type="dxa"/>
            <w:tcBorders>
              <w:top w:val="single" w:sz="4" w:space="0" w:color="auto"/>
              <w:left w:val="nil"/>
              <w:bottom w:val="single" w:sz="4" w:space="0" w:color="auto"/>
              <w:right w:val="single" w:sz="4" w:space="0" w:color="auto"/>
            </w:tcBorders>
            <w:vAlign w:val="bottom"/>
          </w:tcPr>
          <w:p w:rsidR="00767551" w:rsidRPr="007A6E96" w:rsidRDefault="00767551" w:rsidP="007A6E96">
            <w:pPr>
              <w:widowControl/>
              <w:spacing w:line="240" w:lineRule="exact"/>
              <w:jc w:val="left"/>
              <w:rPr>
                <w:kern w:val="0"/>
                <w:sz w:val="18"/>
                <w:szCs w:val="18"/>
              </w:rPr>
            </w:pPr>
            <w:r w:rsidRPr="007A6E96">
              <w:rPr>
                <w:kern w:val="0"/>
                <w:sz w:val="18"/>
                <w:szCs w:val="18"/>
              </w:rPr>
              <w:t xml:space="preserve">　</w:t>
            </w:r>
          </w:p>
        </w:tc>
      </w:tr>
    </w:tbl>
    <w:p w:rsidR="007A6E96" w:rsidRDefault="007A6E96" w:rsidP="00767551">
      <w:pPr>
        <w:sectPr w:rsidR="007A6E96" w:rsidSect="007A6E96">
          <w:headerReference w:type="even" r:id="rId6"/>
          <w:footerReference w:type="even" r:id="rId7"/>
          <w:footerReference w:type="default" r:id="rId8"/>
          <w:pgSz w:w="16838" w:h="11906" w:orient="landscape" w:code="9"/>
          <w:pgMar w:top="1418" w:right="1531" w:bottom="1418" w:left="1531" w:header="851" w:footer="992" w:gutter="0"/>
          <w:cols w:space="425"/>
          <w:docGrid w:type="linesAndChars" w:linePitch="626"/>
        </w:sectPr>
      </w:pPr>
    </w:p>
    <w:p w:rsidR="007A6E96" w:rsidRDefault="007A6E96" w:rsidP="00125AC0">
      <w:pPr>
        <w:rPr>
          <w:rFonts w:hint="eastAsia"/>
        </w:rPr>
      </w:pPr>
    </w:p>
    <w:sectPr w:rsidR="007A6E96" w:rsidSect="007A6E96">
      <w:pgSz w:w="11906" w:h="16838" w:code="9"/>
      <w:pgMar w:top="1531" w:right="1418" w:bottom="1531" w:left="1418" w:header="851" w:footer="992" w:gutter="0"/>
      <w:cols w:space="425"/>
      <w:titlePg/>
      <w:docGrid w:type="lines" w:linePitch="6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99C" w:rsidRDefault="000E799C">
      <w:r>
        <w:separator/>
      </w:r>
    </w:p>
  </w:endnote>
  <w:endnote w:type="continuationSeparator" w:id="0">
    <w:p w:rsidR="000E799C" w:rsidRDefault="000E7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E96" w:rsidRPr="007A6E96" w:rsidRDefault="007A6E96" w:rsidP="007A6E96">
    <w:pPr>
      <w:pStyle w:val="a4"/>
      <w:framePr w:wrap="around" w:vAnchor="text" w:hAnchor="margin" w:xAlign="center" w:y="-283"/>
      <w:rPr>
        <w:rStyle w:val="a5"/>
        <w:sz w:val="28"/>
        <w:szCs w:val="28"/>
      </w:rPr>
    </w:pPr>
    <w:r w:rsidRPr="007A6E96">
      <w:rPr>
        <w:rStyle w:val="a5"/>
        <w:sz w:val="28"/>
        <w:szCs w:val="28"/>
      </w:rPr>
      <w:fldChar w:fldCharType="begin"/>
    </w:r>
    <w:r w:rsidRPr="007A6E96">
      <w:rPr>
        <w:rStyle w:val="a5"/>
        <w:sz w:val="28"/>
        <w:szCs w:val="28"/>
      </w:rPr>
      <w:instrText xml:space="preserve">PAGE  </w:instrText>
    </w:r>
    <w:r w:rsidRPr="007A6E96">
      <w:rPr>
        <w:rStyle w:val="a5"/>
        <w:sz w:val="28"/>
        <w:szCs w:val="28"/>
      </w:rPr>
      <w:fldChar w:fldCharType="separate"/>
    </w:r>
    <w:r w:rsidR="00125AC0">
      <w:rPr>
        <w:rStyle w:val="a5"/>
        <w:noProof/>
        <w:sz w:val="28"/>
        <w:szCs w:val="28"/>
      </w:rPr>
      <w:t>2</w:t>
    </w:r>
    <w:r w:rsidRPr="007A6E96">
      <w:rPr>
        <w:rStyle w:val="a5"/>
        <w:sz w:val="28"/>
        <w:szCs w:val="28"/>
      </w:rPr>
      <w:fldChar w:fldCharType="end"/>
    </w:r>
  </w:p>
  <w:p w:rsidR="007A6E96" w:rsidRDefault="007A6E96" w:rsidP="007A6E9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E96" w:rsidRPr="007A6E96" w:rsidRDefault="007A6E96" w:rsidP="007A6E96">
    <w:pPr>
      <w:pStyle w:val="a4"/>
      <w:framePr w:wrap="around" w:vAnchor="text" w:hAnchor="margin" w:xAlign="center" w:y="-283"/>
      <w:rPr>
        <w:rStyle w:val="a5"/>
        <w:sz w:val="28"/>
        <w:szCs w:val="28"/>
      </w:rPr>
    </w:pPr>
    <w:r w:rsidRPr="007A6E96">
      <w:rPr>
        <w:rStyle w:val="a5"/>
        <w:sz w:val="28"/>
        <w:szCs w:val="28"/>
      </w:rPr>
      <w:fldChar w:fldCharType="begin"/>
    </w:r>
    <w:r w:rsidRPr="007A6E96">
      <w:rPr>
        <w:rStyle w:val="a5"/>
        <w:sz w:val="28"/>
        <w:szCs w:val="28"/>
      </w:rPr>
      <w:instrText xml:space="preserve">PAGE  </w:instrText>
    </w:r>
    <w:r w:rsidRPr="007A6E96">
      <w:rPr>
        <w:rStyle w:val="a5"/>
        <w:sz w:val="28"/>
        <w:szCs w:val="28"/>
      </w:rPr>
      <w:fldChar w:fldCharType="separate"/>
    </w:r>
    <w:r w:rsidR="00125AC0">
      <w:rPr>
        <w:rStyle w:val="a5"/>
        <w:noProof/>
        <w:sz w:val="28"/>
        <w:szCs w:val="28"/>
      </w:rPr>
      <w:t>3</w:t>
    </w:r>
    <w:r w:rsidRPr="007A6E96">
      <w:rPr>
        <w:rStyle w:val="a5"/>
        <w:sz w:val="28"/>
        <w:szCs w:val="28"/>
      </w:rPr>
      <w:fldChar w:fldCharType="end"/>
    </w:r>
  </w:p>
  <w:p w:rsidR="007A6E96" w:rsidRDefault="007A6E96" w:rsidP="007A6E9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99C" w:rsidRDefault="000E799C">
      <w:r>
        <w:separator/>
      </w:r>
    </w:p>
  </w:footnote>
  <w:footnote w:type="continuationSeparator" w:id="0">
    <w:p w:rsidR="000E799C" w:rsidRDefault="000E7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E96" w:rsidRPr="007A6E96" w:rsidRDefault="007A6E96" w:rsidP="007A6E9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60"/>
  <w:drawingGridVerticalSpacing w:val="31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7551"/>
    <w:rsid w:val="00016F05"/>
    <w:rsid w:val="000B6B32"/>
    <w:rsid w:val="000E799C"/>
    <w:rsid w:val="00125AC0"/>
    <w:rsid w:val="006B6617"/>
    <w:rsid w:val="00767551"/>
    <w:rsid w:val="007A6E96"/>
    <w:rsid w:val="00A0542D"/>
    <w:rsid w:val="00B27E33"/>
    <w:rsid w:val="00EC7AF2"/>
    <w:rsid w:val="00FF40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67551"/>
    <w:pPr>
      <w:ind w:leftChars="2500" w:left="100"/>
    </w:pPr>
  </w:style>
  <w:style w:type="paragraph" w:styleId="a4">
    <w:name w:val="footer"/>
    <w:basedOn w:val="a"/>
    <w:rsid w:val="007A6E96"/>
    <w:pPr>
      <w:tabs>
        <w:tab w:val="center" w:pos="4153"/>
        <w:tab w:val="right" w:pos="8306"/>
      </w:tabs>
      <w:snapToGrid w:val="0"/>
      <w:jc w:val="left"/>
    </w:pPr>
    <w:rPr>
      <w:sz w:val="18"/>
      <w:szCs w:val="18"/>
    </w:rPr>
  </w:style>
  <w:style w:type="character" w:styleId="a5">
    <w:name w:val="page number"/>
    <w:basedOn w:val="a0"/>
    <w:rsid w:val="007A6E96"/>
  </w:style>
  <w:style w:type="paragraph" w:styleId="a6">
    <w:name w:val="header"/>
    <w:basedOn w:val="a"/>
    <w:rsid w:val="007A6E96"/>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421</Words>
  <Characters>2404</Characters>
  <Application>Microsoft Office Word</Application>
  <DocSecurity>0</DocSecurity>
  <Lines>20</Lines>
  <Paragraphs>5</Paragraphs>
  <ScaleCrop>false</ScaleCrop>
  <Company>Microsoft China</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遂宁市人民政府办公室</dc:title>
  <dc:creator>wenyinshi1</dc:creator>
  <cp:lastModifiedBy>sfblzy</cp:lastModifiedBy>
  <cp:revision>3</cp:revision>
  <dcterms:created xsi:type="dcterms:W3CDTF">2017-02-27T05:37:00Z</dcterms:created>
  <dcterms:modified xsi:type="dcterms:W3CDTF">2017-02-27T05:38:00Z</dcterms:modified>
</cp:coreProperties>
</file>